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1F79" w14:textId="6C42F26C" w:rsidR="0013000F" w:rsidRPr="007166B7" w:rsidRDefault="0013000F" w:rsidP="002A528E">
      <w:pPr>
        <w:pStyle w:val="Default"/>
        <w:suppressLineNumbers/>
        <w:jc w:val="center"/>
        <w:rPr>
          <w:sz w:val="28"/>
          <w:szCs w:val="28"/>
          <w:lang w:val="en-US"/>
        </w:rPr>
      </w:pPr>
      <w:bookmarkStart w:id="0" w:name="_Hlk8667570"/>
      <w:r w:rsidRPr="007166B7">
        <w:rPr>
          <w:sz w:val="28"/>
          <w:szCs w:val="28"/>
          <w:lang w:val="en-US"/>
        </w:rPr>
        <w:t xml:space="preserve">This is a post-peer-review, pre-copyedit version of an article published in </w:t>
      </w:r>
      <w:r w:rsidRPr="0013000F">
        <w:rPr>
          <w:sz w:val="28"/>
          <w:szCs w:val="28"/>
          <w:lang w:val="en-US"/>
        </w:rPr>
        <w:t>ICES Journal of Marine Science</w:t>
      </w:r>
      <w:r w:rsidRPr="007166B7">
        <w:rPr>
          <w:sz w:val="28"/>
          <w:szCs w:val="28"/>
          <w:lang w:val="en-US"/>
        </w:rPr>
        <w:t xml:space="preserve">. The final copyedited version is available online at: </w:t>
      </w:r>
      <w:r w:rsidRPr="0013000F">
        <w:rPr>
          <w:sz w:val="28"/>
          <w:szCs w:val="28"/>
          <w:lang w:val="en-US"/>
        </w:rPr>
        <w:t>https://doi.org/10.1093/icesjms/fsac136</w:t>
      </w:r>
    </w:p>
    <w:p w14:paraId="57A060F6" w14:textId="1E17F9F2" w:rsidR="0013000F" w:rsidRPr="00CC0ACA" w:rsidRDefault="0013000F" w:rsidP="002A528E">
      <w:pPr>
        <w:suppressLineNumbers/>
        <w:spacing w:before="240" w:after="120" w:line="240" w:lineRule="auto"/>
        <w:ind w:left="720" w:hanging="720"/>
        <w:jc w:val="center"/>
        <w:rPr>
          <w:rFonts w:ascii="Century" w:eastAsiaTheme="minorEastAsia" w:hAnsi="Century" w:cs="Century"/>
          <w:color w:val="000000"/>
          <w:sz w:val="28"/>
          <w:szCs w:val="28"/>
          <w:lang w:val="en-US" w:eastAsia="es-ES"/>
        </w:rPr>
      </w:pPr>
      <w:r w:rsidRPr="00CC0ACA">
        <w:rPr>
          <w:rFonts w:ascii="Century" w:eastAsiaTheme="minorEastAsia" w:hAnsi="Century" w:cs="Century"/>
          <w:color w:val="000000"/>
          <w:sz w:val="28"/>
          <w:szCs w:val="28"/>
          <w:lang w:val="en-US" w:eastAsia="es-ES"/>
        </w:rPr>
        <w:t>© 202</w:t>
      </w:r>
      <w:r w:rsidR="00CC0ACA">
        <w:rPr>
          <w:rFonts w:ascii="Century" w:eastAsiaTheme="minorEastAsia" w:hAnsi="Century" w:cs="Century"/>
          <w:color w:val="000000"/>
          <w:sz w:val="28"/>
          <w:szCs w:val="28"/>
          <w:lang w:val="en-US" w:eastAsia="es-ES"/>
        </w:rPr>
        <w:t>2</w:t>
      </w:r>
      <w:r w:rsidRPr="00CC0ACA">
        <w:rPr>
          <w:rFonts w:ascii="Century" w:eastAsiaTheme="minorEastAsia" w:hAnsi="Century" w:cs="Century"/>
          <w:color w:val="000000"/>
          <w:sz w:val="28"/>
          <w:szCs w:val="28"/>
          <w:lang w:val="en-US" w:eastAsia="es-ES"/>
        </w:rPr>
        <w:t>. This manuscript version is made available under the CC-BY-NC-ND 4.0 license https://creativecommons.org/licenses/by-nc-nd/4.0/</w:t>
      </w:r>
    </w:p>
    <w:p w14:paraId="4F57690F" w14:textId="77777777" w:rsidR="0013000F" w:rsidRPr="0013000F" w:rsidRDefault="0013000F" w:rsidP="002A528E">
      <w:pPr>
        <w:suppressLineNumbers/>
        <w:spacing w:line="360" w:lineRule="auto"/>
        <w:jc w:val="center"/>
        <w:rPr>
          <w:rFonts w:cstheme="minorHAnsi"/>
          <w:b/>
          <w:bCs/>
          <w:sz w:val="40"/>
          <w:szCs w:val="40"/>
          <w:lang w:val="en-US"/>
        </w:rPr>
      </w:pPr>
    </w:p>
    <w:p w14:paraId="12C26A06" w14:textId="6A11FE58" w:rsidR="00FA5E40" w:rsidRPr="00A34CD9" w:rsidRDefault="00410565" w:rsidP="002A528E">
      <w:pPr>
        <w:suppressLineNumbers/>
        <w:spacing w:line="360" w:lineRule="auto"/>
        <w:jc w:val="center"/>
        <w:rPr>
          <w:rFonts w:cstheme="minorHAnsi"/>
          <w:b/>
          <w:bCs/>
          <w:sz w:val="40"/>
          <w:szCs w:val="40"/>
          <w:lang w:val="en-GB"/>
        </w:rPr>
      </w:pPr>
      <w:r w:rsidRPr="00A34CD9">
        <w:rPr>
          <w:rFonts w:cstheme="minorHAnsi"/>
          <w:b/>
          <w:bCs/>
          <w:sz w:val="40"/>
          <w:szCs w:val="40"/>
          <w:lang w:val="en-GB"/>
        </w:rPr>
        <w:t>Ecological</w:t>
      </w:r>
      <w:r w:rsidR="007F0EEC" w:rsidRPr="00A34CD9">
        <w:rPr>
          <w:rFonts w:cstheme="minorHAnsi"/>
          <w:b/>
          <w:bCs/>
          <w:sz w:val="40"/>
          <w:szCs w:val="40"/>
          <w:lang w:val="en-GB"/>
        </w:rPr>
        <w:t xml:space="preserve"> risk assessment of a pelagic seabird</w:t>
      </w:r>
      <w:r w:rsidR="005E491A" w:rsidRPr="00A34CD9">
        <w:rPr>
          <w:rFonts w:cstheme="minorHAnsi"/>
          <w:b/>
          <w:bCs/>
          <w:sz w:val="40"/>
          <w:szCs w:val="40"/>
          <w:lang w:val="en-GB"/>
        </w:rPr>
        <w:t xml:space="preserve"> species</w:t>
      </w:r>
      <w:r w:rsidR="007F0EEC" w:rsidRPr="00A34CD9">
        <w:rPr>
          <w:rFonts w:cstheme="minorHAnsi"/>
          <w:b/>
          <w:bCs/>
          <w:sz w:val="40"/>
          <w:szCs w:val="40"/>
          <w:lang w:val="en-GB"/>
        </w:rPr>
        <w:t xml:space="preserve"> in artisanal tuna fisheries</w:t>
      </w:r>
    </w:p>
    <w:p w14:paraId="096B6BD6" w14:textId="77777777" w:rsidR="00001E0A" w:rsidRPr="00A34CD9" w:rsidRDefault="00001E0A" w:rsidP="002A528E">
      <w:pPr>
        <w:suppressLineNumbers/>
        <w:spacing w:line="480" w:lineRule="auto"/>
        <w:jc w:val="center"/>
        <w:rPr>
          <w:rFonts w:cstheme="minorHAnsi"/>
          <w:b/>
          <w:bCs/>
          <w:sz w:val="24"/>
          <w:szCs w:val="24"/>
          <w:lang w:val="en-GB"/>
        </w:rPr>
      </w:pPr>
    </w:p>
    <w:p w14:paraId="7914B167" w14:textId="1A1ECD0C" w:rsidR="00001E0A" w:rsidRPr="002C7432" w:rsidRDefault="00001E0A" w:rsidP="002A528E">
      <w:pPr>
        <w:suppressLineNumbers/>
        <w:spacing w:line="360" w:lineRule="auto"/>
        <w:jc w:val="center"/>
        <w:rPr>
          <w:rFonts w:cstheme="minorHAnsi"/>
          <w:i/>
          <w:sz w:val="24"/>
          <w:szCs w:val="24"/>
          <w:vertAlign w:val="superscript"/>
        </w:rPr>
      </w:pPr>
      <w:bookmarkStart w:id="1" w:name="_Hlk89439202"/>
      <w:r w:rsidRPr="002C7432">
        <w:rPr>
          <w:rFonts w:cstheme="minorHAnsi"/>
          <w:i/>
          <w:sz w:val="24"/>
          <w:szCs w:val="24"/>
        </w:rPr>
        <w:t>Isabel García-Barón</w:t>
      </w:r>
      <w:r w:rsidRPr="002C7432">
        <w:rPr>
          <w:rFonts w:cstheme="minorHAnsi"/>
          <w:i/>
          <w:sz w:val="24"/>
          <w:szCs w:val="24"/>
          <w:vertAlign w:val="superscript"/>
        </w:rPr>
        <w:t>1*</w:t>
      </w:r>
      <w:r w:rsidRPr="002C7432">
        <w:rPr>
          <w:rFonts w:cstheme="minorHAnsi"/>
          <w:i/>
          <w:sz w:val="24"/>
          <w:szCs w:val="24"/>
        </w:rPr>
        <w:t xml:space="preserve">, </w:t>
      </w:r>
      <w:r w:rsidR="0037564F" w:rsidRPr="002C7432">
        <w:rPr>
          <w:rFonts w:cstheme="minorHAnsi"/>
          <w:i/>
          <w:sz w:val="24"/>
          <w:szCs w:val="24"/>
        </w:rPr>
        <w:t>Igor Granado</w:t>
      </w:r>
      <w:r w:rsidR="0037564F" w:rsidRPr="002C7432">
        <w:rPr>
          <w:rFonts w:cstheme="minorHAnsi"/>
          <w:i/>
          <w:sz w:val="24"/>
          <w:szCs w:val="24"/>
          <w:vertAlign w:val="superscript"/>
        </w:rPr>
        <w:t>1</w:t>
      </w:r>
      <w:r w:rsidR="0037564F" w:rsidRPr="002C7432">
        <w:rPr>
          <w:rFonts w:cstheme="minorHAnsi"/>
          <w:i/>
          <w:sz w:val="24"/>
          <w:szCs w:val="24"/>
        </w:rPr>
        <w:t>,</w:t>
      </w:r>
      <w:r w:rsidR="007E16CD" w:rsidRPr="002C7432">
        <w:rPr>
          <w:rFonts w:cstheme="minorHAnsi"/>
          <w:i/>
          <w:sz w:val="24"/>
          <w:szCs w:val="24"/>
        </w:rPr>
        <w:t xml:space="preserve"> </w:t>
      </w:r>
      <w:r w:rsidR="00052E2B" w:rsidRPr="002C7432">
        <w:rPr>
          <w:rFonts w:cstheme="minorHAnsi"/>
          <w:i/>
          <w:sz w:val="24"/>
          <w:szCs w:val="24"/>
        </w:rPr>
        <w:t>Amaia Astarloa</w:t>
      </w:r>
      <w:r w:rsidR="00052E2B" w:rsidRPr="002C7432">
        <w:rPr>
          <w:rFonts w:cstheme="minorHAnsi"/>
          <w:i/>
          <w:sz w:val="24"/>
          <w:szCs w:val="24"/>
          <w:vertAlign w:val="superscript"/>
        </w:rPr>
        <w:t>1</w:t>
      </w:r>
      <w:r w:rsidR="00052E2B" w:rsidRPr="002C7432">
        <w:rPr>
          <w:rFonts w:cstheme="minorHAnsi"/>
          <w:i/>
          <w:sz w:val="24"/>
          <w:szCs w:val="24"/>
        </w:rPr>
        <w:t xml:space="preserve">, </w:t>
      </w:r>
      <w:r w:rsidR="00B16D72" w:rsidRPr="002C7432">
        <w:rPr>
          <w:rFonts w:cstheme="minorHAnsi"/>
          <w:i/>
          <w:sz w:val="24"/>
          <w:szCs w:val="24"/>
        </w:rPr>
        <w:t>Guillermo Boyra</w:t>
      </w:r>
      <w:r w:rsidR="00B16D72" w:rsidRPr="002C7432">
        <w:rPr>
          <w:rFonts w:cstheme="minorHAnsi"/>
          <w:i/>
          <w:sz w:val="24"/>
          <w:szCs w:val="24"/>
          <w:vertAlign w:val="superscript"/>
        </w:rPr>
        <w:t>1</w:t>
      </w:r>
      <w:r w:rsidR="00B16D72" w:rsidRPr="002C7432">
        <w:rPr>
          <w:rFonts w:cstheme="minorHAnsi"/>
          <w:i/>
          <w:sz w:val="24"/>
          <w:szCs w:val="24"/>
        </w:rPr>
        <w:t xml:space="preserve">, </w:t>
      </w:r>
      <w:r w:rsidR="007E16CD" w:rsidRPr="002C7432">
        <w:rPr>
          <w:rFonts w:cstheme="minorHAnsi"/>
          <w:i/>
          <w:sz w:val="24"/>
          <w:szCs w:val="24"/>
        </w:rPr>
        <w:t>Anna Rubio</w:t>
      </w:r>
      <w:r w:rsidR="007E16CD" w:rsidRPr="002C7432">
        <w:rPr>
          <w:rFonts w:cstheme="minorHAnsi"/>
          <w:i/>
          <w:sz w:val="24"/>
          <w:szCs w:val="24"/>
          <w:vertAlign w:val="superscript"/>
        </w:rPr>
        <w:t>1</w:t>
      </w:r>
      <w:r w:rsidR="007E16CD" w:rsidRPr="002C7432">
        <w:rPr>
          <w:rFonts w:cstheme="minorHAnsi"/>
          <w:i/>
          <w:sz w:val="24"/>
          <w:szCs w:val="24"/>
        </w:rPr>
        <w:t xml:space="preserve">, </w:t>
      </w:r>
      <w:r w:rsidR="00B16D72" w:rsidRPr="002C7432">
        <w:rPr>
          <w:rFonts w:cstheme="minorHAnsi"/>
          <w:i/>
          <w:sz w:val="24"/>
          <w:szCs w:val="24"/>
        </w:rPr>
        <w:t>Jose A. Fernandes</w:t>
      </w:r>
      <w:r w:rsidR="00E84305" w:rsidRPr="002C7432">
        <w:rPr>
          <w:rFonts w:cstheme="minorHAnsi"/>
          <w:i/>
          <w:sz w:val="24"/>
          <w:szCs w:val="24"/>
        </w:rPr>
        <w:t>-Salvador</w:t>
      </w:r>
      <w:r w:rsidR="00B16D72" w:rsidRPr="002C7432">
        <w:rPr>
          <w:rFonts w:cstheme="minorHAnsi"/>
          <w:i/>
          <w:sz w:val="24"/>
          <w:szCs w:val="24"/>
          <w:vertAlign w:val="superscript"/>
        </w:rPr>
        <w:t>1</w:t>
      </w:r>
      <w:r w:rsidR="00B16D72" w:rsidRPr="002C7432">
        <w:rPr>
          <w:rFonts w:cstheme="minorHAnsi"/>
          <w:i/>
          <w:sz w:val="24"/>
          <w:szCs w:val="24"/>
        </w:rPr>
        <w:t xml:space="preserve">, </w:t>
      </w:r>
      <w:r w:rsidR="00FA7399" w:rsidRPr="002C7432">
        <w:rPr>
          <w:rFonts w:cstheme="minorHAnsi"/>
          <w:i/>
          <w:sz w:val="24"/>
          <w:szCs w:val="24"/>
        </w:rPr>
        <w:t>Lucía Zarauz</w:t>
      </w:r>
      <w:r w:rsidR="00FA7399" w:rsidRPr="002C7432">
        <w:rPr>
          <w:rFonts w:cstheme="minorHAnsi"/>
          <w:i/>
          <w:sz w:val="24"/>
          <w:szCs w:val="24"/>
          <w:vertAlign w:val="superscript"/>
        </w:rPr>
        <w:t>1</w:t>
      </w:r>
      <w:r w:rsidR="00FA7399" w:rsidRPr="002C7432">
        <w:rPr>
          <w:rFonts w:cstheme="minorHAnsi"/>
          <w:i/>
          <w:sz w:val="24"/>
          <w:szCs w:val="24"/>
        </w:rPr>
        <w:t xml:space="preserve">, </w:t>
      </w:r>
      <w:r w:rsidR="005E7C94" w:rsidRPr="002C7432">
        <w:rPr>
          <w:rFonts w:cstheme="minorHAnsi"/>
          <w:i/>
          <w:sz w:val="24"/>
          <w:szCs w:val="24"/>
        </w:rPr>
        <w:t>Iñigo Onandia</w:t>
      </w:r>
      <w:r w:rsidR="00B16D72" w:rsidRPr="002C7432">
        <w:rPr>
          <w:rFonts w:cstheme="minorHAnsi"/>
          <w:i/>
          <w:sz w:val="24"/>
          <w:szCs w:val="24"/>
          <w:vertAlign w:val="superscript"/>
        </w:rPr>
        <w:t>1</w:t>
      </w:r>
      <w:r w:rsidR="00B16D72" w:rsidRPr="002C7432">
        <w:rPr>
          <w:rFonts w:cstheme="minorHAnsi"/>
          <w:i/>
          <w:sz w:val="24"/>
          <w:szCs w:val="24"/>
        </w:rPr>
        <w:t xml:space="preserve">, </w:t>
      </w:r>
      <w:r w:rsidR="00C0119E" w:rsidRPr="002C7432">
        <w:rPr>
          <w:rFonts w:cstheme="minorHAnsi"/>
          <w:i/>
          <w:sz w:val="24"/>
          <w:szCs w:val="24"/>
        </w:rPr>
        <w:t>Estanis Mugerza</w:t>
      </w:r>
      <w:r w:rsidR="00052E2B" w:rsidRPr="002C7432">
        <w:rPr>
          <w:rFonts w:cstheme="minorHAnsi"/>
          <w:i/>
          <w:sz w:val="24"/>
          <w:szCs w:val="24"/>
          <w:vertAlign w:val="superscript"/>
        </w:rPr>
        <w:t>1</w:t>
      </w:r>
      <w:r w:rsidR="00052E2B" w:rsidRPr="002C7432">
        <w:rPr>
          <w:rFonts w:cstheme="minorHAnsi"/>
          <w:i/>
          <w:sz w:val="24"/>
          <w:szCs w:val="24"/>
        </w:rPr>
        <w:t xml:space="preserve">, </w:t>
      </w:r>
      <w:r w:rsidRPr="002C7432">
        <w:rPr>
          <w:rFonts w:cstheme="minorHAnsi"/>
          <w:i/>
          <w:sz w:val="24"/>
          <w:szCs w:val="24"/>
        </w:rPr>
        <w:t>Maite Louzao</w:t>
      </w:r>
      <w:r w:rsidRPr="002C7432">
        <w:rPr>
          <w:rFonts w:cstheme="minorHAnsi"/>
          <w:i/>
          <w:sz w:val="24"/>
          <w:szCs w:val="24"/>
          <w:vertAlign w:val="superscript"/>
        </w:rPr>
        <w:t>1</w:t>
      </w:r>
    </w:p>
    <w:p w14:paraId="4107BCCA" w14:textId="4AEE1489" w:rsidR="00001E0A" w:rsidRPr="005A0F00" w:rsidRDefault="00001E0A" w:rsidP="005A0F00">
      <w:pPr>
        <w:suppressLineNumbers/>
        <w:spacing w:after="0" w:line="360" w:lineRule="auto"/>
        <w:jc w:val="center"/>
        <w:rPr>
          <w:rFonts w:cstheme="minorHAnsi"/>
          <w:lang w:val="en-US"/>
        </w:rPr>
      </w:pPr>
      <w:bookmarkStart w:id="2" w:name="_Hlk89439237"/>
      <w:bookmarkEnd w:id="1"/>
      <w:r w:rsidRPr="00A34CD9">
        <w:rPr>
          <w:rFonts w:cstheme="minorHAnsi"/>
          <w:vertAlign w:val="superscript"/>
          <w:lang w:val="en-GB"/>
        </w:rPr>
        <w:t>1</w:t>
      </w:r>
      <w:r w:rsidRPr="00A34CD9">
        <w:rPr>
          <w:rFonts w:cstheme="minorHAnsi"/>
          <w:lang w:val="en-GB"/>
        </w:rPr>
        <w:t xml:space="preserve"> </w:t>
      </w:r>
      <w:bookmarkEnd w:id="2"/>
      <w:r w:rsidR="005A0F00" w:rsidRPr="005A0F00">
        <w:rPr>
          <w:rFonts w:cstheme="minorHAnsi"/>
          <w:lang w:val="en-GB"/>
        </w:rPr>
        <w:t xml:space="preserve">AZTI Marine Research, Basque Research and Technology Alliance (BRTA), Herrera Kaia </w:t>
      </w:r>
      <w:proofErr w:type="spellStart"/>
      <w:r w:rsidR="005A0F00" w:rsidRPr="005A0F00">
        <w:rPr>
          <w:rFonts w:cstheme="minorHAnsi"/>
          <w:lang w:val="en-GB"/>
        </w:rPr>
        <w:t>Portualdea</w:t>
      </w:r>
      <w:proofErr w:type="spellEnd"/>
      <w:r w:rsidR="005A0F00" w:rsidRPr="005A0F00">
        <w:rPr>
          <w:rFonts w:cstheme="minorHAnsi"/>
          <w:lang w:val="en-GB"/>
        </w:rPr>
        <w:t xml:space="preserve"> z/g, 20110 </w:t>
      </w:r>
      <w:proofErr w:type="spellStart"/>
      <w:r w:rsidR="005A0F00" w:rsidRPr="005A0F00">
        <w:rPr>
          <w:rFonts w:cstheme="minorHAnsi"/>
          <w:lang w:val="en-GB"/>
        </w:rPr>
        <w:t>Pasaia</w:t>
      </w:r>
      <w:proofErr w:type="spellEnd"/>
      <w:r w:rsidR="005A0F00" w:rsidRPr="005A0F00">
        <w:rPr>
          <w:rFonts w:cstheme="minorHAnsi"/>
          <w:lang w:val="en-GB"/>
        </w:rPr>
        <w:t>, Spain</w:t>
      </w:r>
      <w:r w:rsidR="005A0F00">
        <w:rPr>
          <w:rFonts w:cstheme="minorHAnsi"/>
          <w:lang w:val="en-GB"/>
        </w:rPr>
        <w:t>.</w:t>
      </w:r>
    </w:p>
    <w:p w14:paraId="5C5EB84F" w14:textId="77777777" w:rsidR="00001E0A" w:rsidRPr="005A0F00" w:rsidRDefault="00001E0A" w:rsidP="002A528E">
      <w:pPr>
        <w:suppressLineNumbers/>
        <w:spacing w:line="480" w:lineRule="auto"/>
        <w:rPr>
          <w:rFonts w:cstheme="minorHAnsi"/>
          <w:lang w:val="en-US"/>
        </w:rPr>
      </w:pPr>
    </w:p>
    <w:p w14:paraId="5CCE51D8" w14:textId="28E66672" w:rsidR="00001E0A" w:rsidRPr="00A34CD9" w:rsidRDefault="00001E0A" w:rsidP="002A528E">
      <w:pPr>
        <w:suppressLineNumbers/>
        <w:spacing w:after="0" w:line="480" w:lineRule="auto"/>
        <w:jc w:val="both"/>
        <w:rPr>
          <w:rFonts w:cstheme="minorHAnsi"/>
          <w:szCs w:val="24"/>
          <w:lang w:val="en-GB"/>
        </w:rPr>
      </w:pPr>
      <w:bookmarkStart w:id="3" w:name="_Hlk498339098"/>
      <w:r w:rsidRPr="00A34CD9">
        <w:rPr>
          <w:rFonts w:cstheme="minorHAnsi"/>
          <w:b/>
          <w:szCs w:val="24"/>
          <w:lang w:val="en-GB"/>
        </w:rPr>
        <w:t xml:space="preserve">*Corresponding author: </w:t>
      </w:r>
      <w:r w:rsidRPr="00A34CD9">
        <w:rPr>
          <w:rFonts w:cstheme="minorHAnsi"/>
          <w:szCs w:val="24"/>
          <w:lang w:val="en-GB"/>
        </w:rPr>
        <w:t>Isabel García-Barón</w:t>
      </w:r>
      <w:r w:rsidR="005A0F00">
        <w:rPr>
          <w:rFonts w:cstheme="minorHAnsi"/>
          <w:szCs w:val="24"/>
          <w:lang w:val="en-GB"/>
        </w:rPr>
        <w:t>. Contact</w:t>
      </w:r>
      <w:r w:rsidRPr="00A34CD9">
        <w:rPr>
          <w:rFonts w:cstheme="minorHAnsi"/>
          <w:szCs w:val="24"/>
          <w:lang w:val="en-GB"/>
        </w:rPr>
        <w:t xml:space="preserve">: </w:t>
      </w:r>
      <w:hyperlink r:id="rId11" w:history="1">
        <w:r w:rsidR="005A0F00" w:rsidRPr="002A1157">
          <w:rPr>
            <w:rStyle w:val="Hipervnculo"/>
            <w:rFonts w:cstheme="minorHAnsi"/>
            <w:szCs w:val="24"/>
            <w:lang w:val="en-GB"/>
          </w:rPr>
          <w:t>igarcia@azti.es</w:t>
        </w:r>
      </w:hyperlink>
      <w:r w:rsidR="005A0F00">
        <w:rPr>
          <w:rFonts w:cstheme="minorHAnsi"/>
          <w:szCs w:val="24"/>
          <w:lang w:val="en-GB"/>
        </w:rPr>
        <w:t xml:space="preserve"> </w:t>
      </w:r>
      <w:r w:rsidRPr="00A34CD9">
        <w:rPr>
          <w:rFonts w:cstheme="minorHAnsi"/>
          <w:szCs w:val="24"/>
          <w:lang w:val="en-GB"/>
        </w:rPr>
        <w:t>(orcid.org/0000-0001-5962-0819)</w:t>
      </w:r>
    </w:p>
    <w:bookmarkEnd w:id="0"/>
    <w:bookmarkEnd w:id="3"/>
    <w:p w14:paraId="765636A3" w14:textId="5B2BC908" w:rsidR="005A0F00" w:rsidRPr="005A0F00" w:rsidRDefault="005A0F00" w:rsidP="005A0F00">
      <w:pPr>
        <w:suppressLineNumbers/>
        <w:rPr>
          <w:lang w:val="en-GB"/>
        </w:rPr>
        <w:sectPr w:rsidR="005A0F00" w:rsidRPr="005A0F00" w:rsidSect="0005668B">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lnNumType w:countBy="1" w:restart="continuous"/>
          <w:pgNumType w:start="1"/>
          <w:cols w:space="708"/>
          <w:docGrid w:linePitch="360"/>
        </w:sectPr>
      </w:pPr>
      <w:r w:rsidRPr="005A0F00">
        <w:rPr>
          <w:lang w:val="en-GB"/>
        </w:rPr>
        <w:t xml:space="preserve">Email addresses: </w:t>
      </w:r>
      <w:hyperlink r:id="rId18" w:history="1">
        <w:r w:rsidRPr="002A1157">
          <w:rPr>
            <w:rStyle w:val="Hipervnculo"/>
            <w:lang w:val="en-GB"/>
          </w:rPr>
          <w:t>igranado@azti.es</w:t>
        </w:r>
      </w:hyperlink>
      <w:r>
        <w:rPr>
          <w:lang w:val="en-GB"/>
        </w:rPr>
        <w:t xml:space="preserve">, </w:t>
      </w:r>
      <w:hyperlink r:id="rId19" w:history="1">
        <w:r w:rsidRPr="002A1157">
          <w:rPr>
            <w:rStyle w:val="Hipervnculo"/>
            <w:lang w:val="en-GB"/>
          </w:rPr>
          <w:t>aastarloa@azti.es</w:t>
        </w:r>
      </w:hyperlink>
      <w:r>
        <w:rPr>
          <w:lang w:val="en-GB"/>
        </w:rPr>
        <w:t xml:space="preserve">, </w:t>
      </w:r>
      <w:hyperlink r:id="rId20" w:history="1">
        <w:r w:rsidRPr="002A1157">
          <w:rPr>
            <w:rStyle w:val="Hipervnculo"/>
            <w:lang w:val="en-GB"/>
          </w:rPr>
          <w:t>gboyra@azti.es</w:t>
        </w:r>
      </w:hyperlink>
      <w:r>
        <w:rPr>
          <w:lang w:val="en-GB"/>
        </w:rPr>
        <w:t xml:space="preserve">, </w:t>
      </w:r>
      <w:hyperlink r:id="rId21" w:history="1">
        <w:r w:rsidRPr="002A1157">
          <w:rPr>
            <w:rStyle w:val="Hipervnculo"/>
            <w:lang w:val="en-GB"/>
          </w:rPr>
          <w:t>arubio@azti.es</w:t>
        </w:r>
      </w:hyperlink>
      <w:r>
        <w:rPr>
          <w:lang w:val="en-GB"/>
        </w:rPr>
        <w:t xml:space="preserve">, </w:t>
      </w:r>
      <w:hyperlink r:id="rId22" w:history="1">
        <w:r w:rsidRPr="002A1157">
          <w:rPr>
            <w:rStyle w:val="Hipervnculo"/>
            <w:lang w:val="en-GB"/>
          </w:rPr>
          <w:t>jfernandes@azti.es</w:t>
        </w:r>
      </w:hyperlink>
      <w:r>
        <w:rPr>
          <w:lang w:val="en-GB"/>
        </w:rPr>
        <w:t xml:space="preserve">, </w:t>
      </w:r>
      <w:hyperlink r:id="rId23" w:history="1">
        <w:r w:rsidRPr="002A1157">
          <w:rPr>
            <w:rStyle w:val="Hipervnculo"/>
            <w:lang w:val="en-GB"/>
          </w:rPr>
          <w:t>lzarauz@azti.es</w:t>
        </w:r>
      </w:hyperlink>
      <w:r>
        <w:rPr>
          <w:lang w:val="en-GB"/>
        </w:rPr>
        <w:t xml:space="preserve">, </w:t>
      </w:r>
      <w:hyperlink r:id="rId24" w:history="1">
        <w:r w:rsidRPr="002A1157">
          <w:rPr>
            <w:rStyle w:val="Hipervnculo"/>
            <w:lang w:val="en-GB"/>
          </w:rPr>
          <w:t>ionandia@azti.es</w:t>
        </w:r>
      </w:hyperlink>
      <w:r>
        <w:rPr>
          <w:lang w:val="en-GB"/>
        </w:rPr>
        <w:t xml:space="preserve">, </w:t>
      </w:r>
      <w:hyperlink r:id="rId25" w:history="1">
        <w:r w:rsidRPr="002A1157">
          <w:rPr>
            <w:rStyle w:val="Hipervnculo"/>
            <w:lang w:val="en-GB"/>
          </w:rPr>
          <w:t>emugerza@azti.es</w:t>
        </w:r>
      </w:hyperlink>
      <w:r>
        <w:rPr>
          <w:lang w:val="en-GB"/>
        </w:rPr>
        <w:t xml:space="preserve">, </w:t>
      </w:r>
      <w:hyperlink r:id="rId26" w:history="1">
        <w:r w:rsidRPr="002A1157">
          <w:rPr>
            <w:rStyle w:val="Hipervnculo"/>
            <w:lang w:val="en-GB"/>
          </w:rPr>
          <w:t>mlouzao@azti.es</w:t>
        </w:r>
      </w:hyperlink>
      <w:r>
        <w:rPr>
          <w:lang w:val="en-GB"/>
        </w:rPr>
        <w:t xml:space="preserve">. </w:t>
      </w:r>
    </w:p>
    <w:p w14:paraId="7226ABC0" w14:textId="5481E48B" w:rsidR="000D03EE" w:rsidRPr="00A34CD9" w:rsidRDefault="007F7ADA" w:rsidP="002A528E">
      <w:pPr>
        <w:pStyle w:val="Ttulo1"/>
        <w:suppressLineNumbers/>
        <w:jc w:val="both"/>
        <w:rPr>
          <w:rFonts w:asciiTheme="minorHAnsi" w:hAnsiTheme="minorHAnsi" w:cstheme="minorHAnsi"/>
          <w:sz w:val="28"/>
          <w:szCs w:val="28"/>
          <w:lang w:val="en-GB"/>
        </w:rPr>
      </w:pPr>
      <w:r w:rsidRPr="00A34CD9">
        <w:rPr>
          <w:rFonts w:asciiTheme="minorHAnsi" w:hAnsiTheme="minorHAnsi" w:cstheme="minorHAnsi"/>
          <w:sz w:val="28"/>
          <w:szCs w:val="28"/>
          <w:lang w:val="en-GB"/>
        </w:rPr>
        <w:lastRenderedPageBreak/>
        <w:t>ABSTRACT</w:t>
      </w:r>
    </w:p>
    <w:p w14:paraId="207DF305" w14:textId="5010F87D" w:rsidR="001F01DE" w:rsidRPr="00A34CD9" w:rsidRDefault="000019A1" w:rsidP="002A528E">
      <w:pPr>
        <w:suppressLineNumbers/>
        <w:spacing w:line="480" w:lineRule="auto"/>
        <w:jc w:val="both"/>
        <w:rPr>
          <w:rFonts w:cstheme="minorHAnsi"/>
          <w:i/>
          <w:lang w:val="en-GB"/>
        </w:rPr>
      </w:pPr>
      <w:bookmarkStart w:id="4" w:name="_Hlk102063075"/>
      <w:r w:rsidRPr="00A34CD9">
        <w:rPr>
          <w:rFonts w:cstheme="minorHAnsi"/>
          <w:bCs/>
          <w:lang w:val="en-GB"/>
        </w:rPr>
        <w:t xml:space="preserve">Fishery bycatch </w:t>
      </w:r>
      <w:r w:rsidR="005E491A" w:rsidRPr="00A34CD9">
        <w:rPr>
          <w:rFonts w:cstheme="minorHAnsi"/>
          <w:bCs/>
          <w:lang w:val="en-GB"/>
        </w:rPr>
        <w:t xml:space="preserve">is </w:t>
      </w:r>
      <w:r w:rsidRPr="00A34CD9">
        <w:rPr>
          <w:rFonts w:cstheme="minorHAnsi"/>
          <w:bCs/>
          <w:lang w:val="en-GB"/>
        </w:rPr>
        <w:t>a serious threat to s</w:t>
      </w:r>
      <w:r w:rsidR="00553A3E" w:rsidRPr="00A34CD9">
        <w:rPr>
          <w:rFonts w:cstheme="minorHAnsi"/>
          <w:bCs/>
          <w:lang w:val="en-GB"/>
        </w:rPr>
        <w:t>everal</w:t>
      </w:r>
      <w:r w:rsidR="00860A19" w:rsidRPr="00A34CD9">
        <w:rPr>
          <w:rFonts w:cstheme="minorHAnsi"/>
          <w:bCs/>
          <w:lang w:val="en-GB"/>
        </w:rPr>
        <w:t xml:space="preserve"> </w:t>
      </w:r>
      <w:r w:rsidR="00A4711B" w:rsidRPr="00A34CD9">
        <w:rPr>
          <w:rFonts w:cstheme="minorHAnsi"/>
          <w:bCs/>
          <w:lang w:val="en-GB"/>
        </w:rPr>
        <w:t xml:space="preserve">protected, endangered, and threatened species </w:t>
      </w:r>
      <w:r w:rsidR="000200B7" w:rsidRPr="00A34CD9">
        <w:rPr>
          <w:rFonts w:cstheme="minorHAnsi"/>
          <w:bCs/>
          <w:lang w:val="en-GB"/>
        </w:rPr>
        <w:t>(</w:t>
      </w:r>
      <w:r w:rsidR="0008299E" w:rsidRPr="00A34CD9">
        <w:rPr>
          <w:rFonts w:cstheme="minorHAnsi"/>
          <w:bCs/>
          <w:lang w:val="en-GB"/>
        </w:rPr>
        <w:t>PETs</w:t>
      </w:r>
      <w:r w:rsidR="000200B7" w:rsidRPr="00A34CD9">
        <w:rPr>
          <w:rFonts w:cstheme="minorHAnsi"/>
          <w:bCs/>
          <w:lang w:val="en-GB"/>
        </w:rPr>
        <w:t>)</w:t>
      </w:r>
      <w:r w:rsidR="00253E21" w:rsidRPr="00A34CD9">
        <w:rPr>
          <w:rFonts w:cstheme="minorHAnsi"/>
          <w:bCs/>
          <w:lang w:val="en-GB"/>
        </w:rPr>
        <w:t xml:space="preserve">, </w:t>
      </w:r>
      <w:r w:rsidRPr="00A34CD9">
        <w:rPr>
          <w:rFonts w:cstheme="minorHAnsi"/>
          <w:bCs/>
          <w:lang w:val="en-GB"/>
        </w:rPr>
        <w:t>requiring</w:t>
      </w:r>
      <w:r w:rsidR="00860A19" w:rsidRPr="00A34CD9">
        <w:rPr>
          <w:rFonts w:cstheme="minorHAnsi"/>
          <w:bCs/>
          <w:lang w:val="en-GB"/>
        </w:rPr>
        <w:t xml:space="preserve"> urgent action to</w:t>
      </w:r>
      <w:r w:rsidR="00760092" w:rsidRPr="00A34CD9">
        <w:rPr>
          <w:rFonts w:cstheme="minorHAnsi"/>
          <w:bCs/>
          <w:lang w:val="en-GB"/>
        </w:rPr>
        <w:t xml:space="preserve"> develop and</w:t>
      </w:r>
      <w:r w:rsidR="00860A19" w:rsidRPr="00A34CD9">
        <w:rPr>
          <w:rFonts w:cstheme="minorHAnsi"/>
          <w:bCs/>
          <w:lang w:val="en-GB"/>
        </w:rPr>
        <w:t xml:space="preserve"> implement conservation</w:t>
      </w:r>
      <w:r w:rsidR="00010D2E" w:rsidRPr="00A34CD9">
        <w:rPr>
          <w:rFonts w:cstheme="minorHAnsi"/>
          <w:bCs/>
          <w:lang w:val="en-GB"/>
        </w:rPr>
        <w:t xml:space="preserve"> </w:t>
      </w:r>
      <w:r w:rsidR="00860A19" w:rsidRPr="00A34CD9">
        <w:rPr>
          <w:rFonts w:cstheme="minorHAnsi"/>
          <w:bCs/>
          <w:lang w:val="en-GB"/>
        </w:rPr>
        <w:t>measures</w:t>
      </w:r>
      <w:r w:rsidR="00AA4446" w:rsidRPr="00A34CD9">
        <w:rPr>
          <w:rFonts w:cstheme="minorHAnsi"/>
          <w:bCs/>
          <w:lang w:val="en-GB"/>
        </w:rPr>
        <w:t>.</w:t>
      </w:r>
      <w:r w:rsidR="00E1735C" w:rsidRPr="00A34CD9">
        <w:rPr>
          <w:rFonts w:cstheme="minorHAnsi"/>
          <w:bCs/>
          <w:lang w:val="en-GB"/>
        </w:rPr>
        <w:t xml:space="preserve"> </w:t>
      </w:r>
      <w:r w:rsidR="0070763C" w:rsidRPr="00A34CD9">
        <w:rPr>
          <w:rFonts w:cstheme="minorHAnsi"/>
          <w:bCs/>
          <w:lang w:val="en-GB"/>
        </w:rPr>
        <w:t xml:space="preserve">This study </w:t>
      </w:r>
      <w:r w:rsidR="002561E5" w:rsidRPr="00A34CD9">
        <w:rPr>
          <w:rFonts w:cstheme="minorHAnsi"/>
          <w:bCs/>
          <w:lang w:val="en-GB"/>
        </w:rPr>
        <w:t>perform</w:t>
      </w:r>
      <w:r w:rsidR="005E491A" w:rsidRPr="00A34CD9">
        <w:rPr>
          <w:rFonts w:cstheme="minorHAnsi"/>
          <w:bCs/>
          <w:lang w:val="en-GB"/>
        </w:rPr>
        <w:t>s</w:t>
      </w:r>
      <w:r w:rsidR="002561E5" w:rsidRPr="00A34CD9">
        <w:rPr>
          <w:rFonts w:cstheme="minorHAnsi"/>
          <w:bCs/>
          <w:lang w:val="en-GB"/>
        </w:rPr>
        <w:t xml:space="preserve"> a</w:t>
      </w:r>
      <w:r w:rsidR="00111EF4" w:rsidRPr="00A34CD9">
        <w:rPr>
          <w:rFonts w:cstheme="minorHAnsi"/>
          <w:bCs/>
          <w:lang w:val="en-GB"/>
        </w:rPr>
        <w:t>n</w:t>
      </w:r>
      <w:r w:rsidR="002561E5" w:rsidRPr="00A34CD9">
        <w:rPr>
          <w:rFonts w:cstheme="minorHAnsi"/>
          <w:bCs/>
          <w:lang w:val="en-GB"/>
        </w:rPr>
        <w:t xml:space="preserve"> </w:t>
      </w:r>
      <w:r w:rsidR="00A520BA" w:rsidRPr="00A34CD9">
        <w:rPr>
          <w:rFonts w:cstheme="minorHAnsi"/>
          <w:bCs/>
          <w:lang w:val="en-GB"/>
        </w:rPr>
        <w:t>Ecological Risk Assessment for the Effects of Fishing</w:t>
      </w:r>
      <w:r w:rsidR="00CC2A71" w:rsidRPr="00A34CD9">
        <w:rPr>
          <w:rFonts w:cstheme="minorHAnsi"/>
          <w:bCs/>
          <w:lang w:val="en-GB"/>
        </w:rPr>
        <w:t xml:space="preserve"> (ERAEF)</w:t>
      </w:r>
      <w:r w:rsidR="00231C03" w:rsidRPr="00A34CD9">
        <w:rPr>
          <w:rFonts w:cstheme="minorHAnsi"/>
          <w:bCs/>
          <w:lang w:val="en-GB"/>
        </w:rPr>
        <w:t xml:space="preserve"> using a spatially and temporally Productivity Susceptibility Analysis (PSA) to calculate </w:t>
      </w:r>
      <w:r w:rsidR="005607B1" w:rsidRPr="00A34CD9">
        <w:rPr>
          <w:rFonts w:cstheme="minorHAnsi"/>
          <w:bCs/>
          <w:lang w:val="en-GB"/>
        </w:rPr>
        <w:t xml:space="preserve">the potential </w:t>
      </w:r>
      <w:r w:rsidR="00231C03" w:rsidRPr="00A34CD9">
        <w:rPr>
          <w:rFonts w:cstheme="minorHAnsi"/>
          <w:bCs/>
          <w:lang w:val="en-GB"/>
        </w:rPr>
        <w:t>risk</w:t>
      </w:r>
      <w:r w:rsidR="00231C03" w:rsidRPr="00A34CD9" w:rsidDel="00A520BA">
        <w:rPr>
          <w:rFonts w:cstheme="minorHAnsi"/>
          <w:bCs/>
          <w:lang w:val="en-GB"/>
        </w:rPr>
        <w:t xml:space="preserve"> </w:t>
      </w:r>
      <w:r w:rsidR="00F35AF8" w:rsidRPr="00A34CD9">
        <w:rPr>
          <w:rFonts w:cstheme="minorHAnsi"/>
          <w:bCs/>
          <w:lang w:val="en-GB"/>
        </w:rPr>
        <w:t>to great shearwaters (</w:t>
      </w:r>
      <w:proofErr w:type="spellStart"/>
      <w:r w:rsidR="00F35AF8" w:rsidRPr="00A34CD9">
        <w:rPr>
          <w:rFonts w:cstheme="minorHAnsi"/>
          <w:bCs/>
          <w:i/>
          <w:iCs/>
          <w:lang w:val="en-GB"/>
        </w:rPr>
        <w:t>Ardenna</w:t>
      </w:r>
      <w:proofErr w:type="spellEnd"/>
      <w:r w:rsidR="00F35AF8" w:rsidRPr="00A34CD9">
        <w:rPr>
          <w:rFonts w:cstheme="minorHAnsi"/>
          <w:bCs/>
          <w:i/>
          <w:iCs/>
          <w:lang w:val="en-GB"/>
        </w:rPr>
        <w:t xml:space="preserve"> gravis</w:t>
      </w:r>
      <w:r w:rsidR="00F35AF8" w:rsidRPr="00A34CD9">
        <w:rPr>
          <w:rFonts w:cstheme="minorHAnsi"/>
          <w:bCs/>
          <w:lang w:val="en-GB"/>
        </w:rPr>
        <w:t>) from direct interaction with the</w:t>
      </w:r>
      <w:r w:rsidR="00B43444" w:rsidRPr="00A34CD9">
        <w:rPr>
          <w:rFonts w:cstheme="minorHAnsi"/>
          <w:bCs/>
          <w:lang w:val="en-GB"/>
        </w:rPr>
        <w:t xml:space="preserve"> metiers of the</w:t>
      </w:r>
      <w:r w:rsidR="00F35AF8" w:rsidRPr="00A34CD9">
        <w:rPr>
          <w:rFonts w:cstheme="minorHAnsi"/>
          <w:bCs/>
          <w:lang w:val="en-GB"/>
        </w:rPr>
        <w:t xml:space="preserve"> artisanal tuna fishing fleet at the Bay of Biscay</w:t>
      </w:r>
      <w:r w:rsidR="00CF1830" w:rsidRPr="00A34CD9">
        <w:rPr>
          <w:rFonts w:cstheme="minorHAnsi"/>
          <w:bCs/>
          <w:lang w:val="en-GB"/>
        </w:rPr>
        <w:t xml:space="preserve"> (</w:t>
      </w:r>
      <w:proofErr w:type="spellStart"/>
      <w:r w:rsidR="00B43444" w:rsidRPr="00A34CD9">
        <w:rPr>
          <w:rFonts w:cstheme="minorHAnsi"/>
          <w:bCs/>
          <w:lang w:val="en-GB"/>
        </w:rPr>
        <w:t>baitboats</w:t>
      </w:r>
      <w:proofErr w:type="spellEnd"/>
      <w:r w:rsidR="00B43444" w:rsidRPr="00A34CD9">
        <w:rPr>
          <w:rFonts w:cstheme="minorHAnsi"/>
          <w:bCs/>
          <w:lang w:val="en-GB"/>
        </w:rPr>
        <w:t xml:space="preserve"> and trollers)</w:t>
      </w:r>
      <w:r w:rsidR="004F6358" w:rsidRPr="00A34CD9">
        <w:rPr>
          <w:rFonts w:cstheme="minorHAnsi"/>
          <w:bCs/>
          <w:lang w:val="en-GB"/>
        </w:rPr>
        <w:t xml:space="preserve">. </w:t>
      </w:r>
      <w:r w:rsidR="005E491A" w:rsidRPr="00A34CD9">
        <w:rPr>
          <w:rFonts w:cstheme="minorHAnsi"/>
          <w:bCs/>
          <w:lang w:val="en-GB"/>
        </w:rPr>
        <w:t xml:space="preserve">The PSA </w:t>
      </w:r>
      <w:r w:rsidR="004F6358" w:rsidRPr="00A34CD9">
        <w:rPr>
          <w:rFonts w:cstheme="minorHAnsi"/>
          <w:bCs/>
          <w:lang w:val="en-GB"/>
        </w:rPr>
        <w:t>incorpora</w:t>
      </w:r>
      <w:r w:rsidR="005E491A" w:rsidRPr="00A34CD9">
        <w:rPr>
          <w:rFonts w:cstheme="minorHAnsi"/>
          <w:bCs/>
          <w:lang w:val="en-GB"/>
        </w:rPr>
        <w:t>tes</w:t>
      </w:r>
      <w:r w:rsidR="004F6358" w:rsidRPr="00A34CD9">
        <w:rPr>
          <w:rFonts w:cstheme="minorHAnsi"/>
          <w:bCs/>
          <w:lang w:val="en-GB"/>
        </w:rPr>
        <w:t xml:space="preserve"> productivity attributes </w:t>
      </w:r>
      <w:r w:rsidR="001370C9" w:rsidRPr="00A34CD9">
        <w:rPr>
          <w:rFonts w:cstheme="minorHAnsi"/>
          <w:bCs/>
          <w:lang w:val="en-GB"/>
        </w:rPr>
        <w:t>based on the Fecundity Factor Index; and susceptibility attributes</w:t>
      </w:r>
      <w:r w:rsidR="00F35AF8" w:rsidRPr="00A34CD9">
        <w:rPr>
          <w:rFonts w:cstheme="minorHAnsi"/>
          <w:bCs/>
          <w:lang w:val="en-GB"/>
        </w:rPr>
        <w:t xml:space="preserve"> </w:t>
      </w:r>
      <w:r w:rsidR="004A26B7" w:rsidRPr="00A34CD9">
        <w:rPr>
          <w:rFonts w:cstheme="minorHAnsi"/>
          <w:bCs/>
          <w:lang w:val="en-GB"/>
        </w:rPr>
        <w:t>calculated from</w:t>
      </w:r>
      <w:r w:rsidR="00914003" w:rsidRPr="00A34CD9">
        <w:rPr>
          <w:rFonts w:cstheme="minorHAnsi"/>
          <w:bCs/>
          <w:lang w:val="en-GB"/>
        </w:rPr>
        <w:t xml:space="preserve"> </w:t>
      </w:r>
      <w:r w:rsidR="00F176ED" w:rsidRPr="00A34CD9">
        <w:rPr>
          <w:rFonts w:cstheme="minorHAnsi"/>
          <w:bCs/>
          <w:lang w:val="en-GB"/>
        </w:rPr>
        <w:t>the</w:t>
      </w:r>
      <w:r w:rsidR="0070763C" w:rsidRPr="00A34CD9">
        <w:rPr>
          <w:rFonts w:cstheme="minorHAnsi"/>
          <w:bCs/>
          <w:lang w:val="en-GB"/>
        </w:rPr>
        <w:t xml:space="preserve"> </w:t>
      </w:r>
      <w:r w:rsidR="00387EE6" w:rsidRPr="00A34CD9">
        <w:rPr>
          <w:rFonts w:cstheme="minorHAnsi"/>
          <w:bCs/>
          <w:lang w:val="en-GB"/>
        </w:rPr>
        <w:t>s</w:t>
      </w:r>
      <w:r w:rsidR="001351C5" w:rsidRPr="00A34CD9">
        <w:rPr>
          <w:rFonts w:cstheme="minorHAnsi"/>
          <w:bCs/>
          <w:lang w:val="en-GB"/>
        </w:rPr>
        <w:t xml:space="preserve">pecies </w:t>
      </w:r>
      <w:proofErr w:type="spellStart"/>
      <w:r w:rsidR="001351C5" w:rsidRPr="00A34CD9">
        <w:rPr>
          <w:rFonts w:cstheme="minorHAnsi"/>
          <w:bCs/>
          <w:lang w:val="en-GB"/>
        </w:rPr>
        <w:t>spatio</w:t>
      </w:r>
      <w:proofErr w:type="spellEnd"/>
      <w:r w:rsidR="001351C5" w:rsidRPr="00A34CD9">
        <w:rPr>
          <w:rFonts w:cstheme="minorHAnsi"/>
          <w:bCs/>
          <w:lang w:val="en-GB"/>
        </w:rPr>
        <w:t xml:space="preserve">-temporal abundance patterns obtained developing density surface models </w:t>
      </w:r>
      <w:r w:rsidR="00FF7054" w:rsidRPr="00A34CD9">
        <w:rPr>
          <w:rFonts w:cstheme="minorHAnsi"/>
          <w:bCs/>
          <w:lang w:val="en-GB"/>
        </w:rPr>
        <w:t>and distribution and intensity of fishing activity</w:t>
      </w:r>
      <w:r w:rsidR="00FF7054" w:rsidRPr="00A34CD9" w:rsidDel="00914003">
        <w:rPr>
          <w:rFonts w:cstheme="minorHAnsi"/>
          <w:bCs/>
          <w:lang w:val="en-GB"/>
        </w:rPr>
        <w:t xml:space="preserve"> </w:t>
      </w:r>
      <w:r w:rsidR="009B4E38" w:rsidRPr="00A34CD9">
        <w:rPr>
          <w:rFonts w:cstheme="minorHAnsi"/>
          <w:bCs/>
          <w:lang w:val="en-GB"/>
        </w:rPr>
        <w:t xml:space="preserve">based on pooled </w:t>
      </w:r>
      <w:r w:rsidR="00841CBF" w:rsidRPr="00A34CD9">
        <w:rPr>
          <w:rFonts w:cstheme="minorHAnsi"/>
          <w:bCs/>
          <w:lang w:val="en-GB"/>
        </w:rPr>
        <w:t>V</w:t>
      </w:r>
      <w:r w:rsidR="00A33069" w:rsidRPr="00A34CD9">
        <w:rPr>
          <w:rFonts w:cstheme="minorHAnsi"/>
          <w:bCs/>
          <w:lang w:val="en-GB"/>
        </w:rPr>
        <w:t>essel Monitoring System and logbook data</w:t>
      </w:r>
      <w:r w:rsidR="00832738" w:rsidRPr="00A34CD9">
        <w:rPr>
          <w:rFonts w:cstheme="minorHAnsi"/>
          <w:bCs/>
          <w:lang w:val="en-GB"/>
        </w:rPr>
        <w:t>.</w:t>
      </w:r>
      <w:r w:rsidR="005E491A" w:rsidRPr="00A34CD9">
        <w:rPr>
          <w:rFonts w:cstheme="minorHAnsi"/>
          <w:bCs/>
          <w:lang w:val="en-GB"/>
        </w:rPr>
        <w:t xml:space="preserve"> The PSA shows</w:t>
      </w:r>
      <w:r w:rsidR="00B41005" w:rsidRPr="00A34CD9">
        <w:rPr>
          <w:rFonts w:cstheme="minorHAnsi"/>
          <w:bCs/>
          <w:lang w:val="en-GB"/>
        </w:rPr>
        <w:t xml:space="preserve"> an overall moderate risk to great shearwaters</w:t>
      </w:r>
      <w:r w:rsidR="00B43444" w:rsidRPr="00A34CD9">
        <w:rPr>
          <w:rFonts w:cstheme="minorHAnsi"/>
          <w:bCs/>
          <w:lang w:val="en-GB"/>
        </w:rPr>
        <w:t xml:space="preserve"> by the artisanal tuna fishery</w:t>
      </w:r>
      <w:r w:rsidR="00C97B92" w:rsidRPr="00A34CD9">
        <w:rPr>
          <w:rFonts w:cstheme="minorHAnsi"/>
          <w:bCs/>
          <w:lang w:val="en-GB"/>
        </w:rPr>
        <w:t xml:space="preserve"> also revealing</w:t>
      </w:r>
      <w:r w:rsidR="00B43444" w:rsidRPr="00A34CD9">
        <w:rPr>
          <w:rFonts w:cstheme="minorHAnsi"/>
          <w:bCs/>
          <w:lang w:val="en-GB"/>
        </w:rPr>
        <w:t xml:space="preserve"> that </w:t>
      </w:r>
      <w:proofErr w:type="spellStart"/>
      <w:r w:rsidR="00B43444" w:rsidRPr="00A34CD9">
        <w:rPr>
          <w:rFonts w:cstheme="minorHAnsi"/>
          <w:bCs/>
          <w:lang w:val="en-GB"/>
        </w:rPr>
        <w:t>baitboats</w:t>
      </w:r>
      <w:proofErr w:type="spellEnd"/>
      <w:r w:rsidR="00B43444" w:rsidRPr="00A34CD9">
        <w:rPr>
          <w:rFonts w:cstheme="minorHAnsi"/>
          <w:bCs/>
          <w:lang w:val="en-GB"/>
        </w:rPr>
        <w:t xml:space="preserve"> are less risky than trollers</w:t>
      </w:r>
      <w:r w:rsidR="00C97B92" w:rsidRPr="00A34CD9">
        <w:rPr>
          <w:rFonts w:cstheme="minorHAnsi"/>
          <w:bCs/>
          <w:lang w:val="en-GB"/>
        </w:rPr>
        <w:t xml:space="preserve"> </w:t>
      </w:r>
      <w:bookmarkStart w:id="5" w:name="_Hlk102128413"/>
      <w:r w:rsidR="00C97B92" w:rsidRPr="00A34CD9">
        <w:rPr>
          <w:rFonts w:cstheme="minorHAnsi"/>
          <w:bCs/>
          <w:lang w:val="en-GB"/>
        </w:rPr>
        <w:t>(</w:t>
      </w:r>
      <w:r w:rsidR="00B43444" w:rsidRPr="00A34CD9">
        <w:rPr>
          <w:rFonts w:cstheme="minorHAnsi"/>
          <w:bCs/>
          <w:lang w:val="en-GB"/>
        </w:rPr>
        <w:t xml:space="preserve">risk score of 3.12±0.09 and </w:t>
      </w:r>
      <w:r w:rsidR="00B43444" w:rsidRPr="00A34CD9">
        <w:rPr>
          <w:rFonts w:cstheme="minorHAnsi"/>
          <w:lang w:val="en-GB"/>
        </w:rPr>
        <w:t>2.70±0.05, respectively</w:t>
      </w:r>
      <w:r w:rsidR="00C97B92" w:rsidRPr="00A34CD9">
        <w:rPr>
          <w:rFonts w:cstheme="minorHAnsi"/>
          <w:lang w:val="en-GB"/>
        </w:rPr>
        <w:t>)</w:t>
      </w:r>
      <w:bookmarkEnd w:id="5"/>
      <w:r w:rsidR="00B43444" w:rsidRPr="00A34CD9">
        <w:rPr>
          <w:rFonts w:cstheme="minorHAnsi"/>
          <w:lang w:val="en-GB"/>
        </w:rPr>
        <w:t>.</w:t>
      </w:r>
      <w:r w:rsidR="005F642D" w:rsidRPr="00A34CD9">
        <w:rPr>
          <w:rFonts w:cstheme="minorHAnsi"/>
          <w:lang w:val="en-GB"/>
        </w:rPr>
        <w:t xml:space="preserve"> </w:t>
      </w:r>
      <w:r w:rsidR="00C97B92" w:rsidRPr="00A34CD9">
        <w:rPr>
          <w:rFonts w:cstheme="minorHAnsi"/>
          <w:bCs/>
          <w:lang w:val="en-GB"/>
        </w:rPr>
        <w:t>Spatially, t</w:t>
      </w:r>
      <w:r w:rsidR="004D5929" w:rsidRPr="00A34CD9">
        <w:rPr>
          <w:rFonts w:cstheme="minorHAnsi"/>
          <w:bCs/>
          <w:lang w:val="en-GB"/>
        </w:rPr>
        <w:t>he likelihood</w:t>
      </w:r>
      <w:r w:rsidR="009E3F74" w:rsidRPr="00A34CD9">
        <w:rPr>
          <w:rFonts w:cstheme="minorHAnsi"/>
          <w:bCs/>
          <w:lang w:val="en-GB"/>
        </w:rPr>
        <w:t xml:space="preserve"> </w:t>
      </w:r>
      <w:r w:rsidR="00C17C75" w:rsidRPr="00A34CD9">
        <w:rPr>
          <w:rFonts w:cstheme="minorHAnsi"/>
          <w:bCs/>
          <w:lang w:val="en-GB"/>
        </w:rPr>
        <w:t xml:space="preserve">of </w:t>
      </w:r>
      <w:r w:rsidR="00EC1F3E" w:rsidRPr="00A34CD9">
        <w:rPr>
          <w:rFonts w:cstheme="minorHAnsi"/>
          <w:bCs/>
          <w:lang w:val="en-GB"/>
        </w:rPr>
        <w:t xml:space="preserve">presence of </w:t>
      </w:r>
      <w:r w:rsidR="00C17C75" w:rsidRPr="00A34CD9">
        <w:rPr>
          <w:rFonts w:cstheme="minorHAnsi"/>
          <w:bCs/>
          <w:lang w:val="en-GB"/>
        </w:rPr>
        <w:t>high</w:t>
      </w:r>
      <w:r w:rsidR="006B3688" w:rsidRPr="00A34CD9">
        <w:rPr>
          <w:rFonts w:cstheme="minorHAnsi"/>
          <w:bCs/>
          <w:lang w:val="en-GB"/>
        </w:rPr>
        <w:t xml:space="preserve"> potential </w:t>
      </w:r>
      <w:r w:rsidR="00C17C75" w:rsidRPr="00A34CD9">
        <w:rPr>
          <w:rFonts w:cstheme="minorHAnsi"/>
          <w:bCs/>
          <w:lang w:val="en-GB"/>
        </w:rPr>
        <w:t xml:space="preserve">risk areas </w:t>
      </w:r>
      <w:r w:rsidR="00F10946" w:rsidRPr="00A34CD9">
        <w:rPr>
          <w:rFonts w:cstheme="minorHAnsi"/>
          <w:bCs/>
          <w:lang w:val="en-GB"/>
        </w:rPr>
        <w:t>was</w:t>
      </w:r>
      <w:r w:rsidR="00063873" w:rsidRPr="00A34CD9">
        <w:rPr>
          <w:rFonts w:cstheme="minorHAnsi"/>
          <w:bCs/>
          <w:lang w:val="en-GB"/>
        </w:rPr>
        <w:t xml:space="preserve"> associated with </w:t>
      </w:r>
      <w:r w:rsidR="00CF1830" w:rsidRPr="00A34CD9">
        <w:rPr>
          <w:rFonts w:cstheme="minorHAnsi"/>
          <w:bCs/>
          <w:lang w:val="en-GB"/>
        </w:rPr>
        <w:t>prey</w:t>
      </w:r>
      <w:r w:rsidR="00836884" w:rsidRPr="00A34CD9">
        <w:rPr>
          <w:rFonts w:cstheme="minorHAnsi"/>
          <w:bCs/>
          <w:lang w:val="en-GB"/>
        </w:rPr>
        <w:t xml:space="preserve"> availability</w:t>
      </w:r>
      <w:r w:rsidR="006A3A81" w:rsidRPr="00A34CD9">
        <w:rPr>
          <w:rFonts w:cstheme="minorHAnsi"/>
          <w:bCs/>
          <w:lang w:val="en-GB"/>
        </w:rPr>
        <w:t xml:space="preserve"> </w:t>
      </w:r>
      <w:r w:rsidR="007673A6" w:rsidRPr="00A34CD9">
        <w:rPr>
          <w:rFonts w:cstheme="minorHAnsi"/>
          <w:bCs/>
          <w:lang w:val="en-GB"/>
        </w:rPr>
        <w:t xml:space="preserve">for </w:t>
      </w:r>
      <w:r w:rsidR="00EC1F3E" w:rsidRPr="00A34CD9">
        <w:rPr>
          <w:rFonts w:cstheme="minorHAnsi"/>
          <w:bCs/>
          <w:lang w:val="en-GB"/>
        </w:rPr>
        <w:t xml:space="preserve">both, </w:t>
      </w:r>
      <w:r w:rsidR="006A3A81" w:rsidRPr="00A34CD9">
        <w:rPr>
          <w:rFonts w:cstheme="minorHAnsi"/>
          <w:bCs/>
          <w:lang w:val="en-GB"/>
        </w:rPr>
        <w:t xml:space="preserve">the </w:t>
      </w:r>
      <w:proofErr w:type="gramStart"/>
      <w:r w:rsidR="00EE655F" w:rsidRPr="00A34CD9">
        <w:rPr>
          <w:rFonts w:cstheme="minorHAnsi"/>
          <w:bCs/>
          <w:lang w:val="en-GB"/>
        </w:rPr>
        <w:t>PET</w:t>
      </w:r>
      <w:proofErr w:type="gramEnd"/>
      <w:r w:rsidR="00EE655F" w:rsidRPr="00A34CD9">
        <w:rPr>
          <w:rFonts w:cstheme="minorHAnsi"/>
          <w:bCs/>
          <w:lang w:val="en-GB"/>
        </w:rPr>
        <w:t xml:space="preserve"> </w:t>
      </w:r>
      <w:r w:rsidR="00900182" w:rsidRPr="00A34CD9">
        <w:rPr>
          <w:rFonts w:cstheme="minorHAnsi"/>
          <w:bCs/>
          <w:lang w:val="en-GB"/>
        </w:rPr>
        <w:t xml:space="preserve">and </w:t>
      </w:r>
      <w:r w:rsidR="00EE655F" w:rsidRPr="00A34CD9">
        <w:rPr>
          <w:rFonts w:cstheme="minorHAnsi"/>
          <w:bCs/>
          <w:lang w:val="en-GB"/>
        </w:rPr>
        <w:t xml:space="preserve">the </w:t>
      </w:r>
      <w:r w:rsidR="00900182" w:rsidRPr="00A34CD9">
        <w:rPr>
          <w:rFonts w:cstheme="minorHAnsi"/>
          <w:bCs/>
          <w:lang w:val="en-GB"/>
        </w:rPr>
        <w:t xml:space="preserve">commercial fish </w:t>
      </w:r>
      <w:r w:rsidR="006A3A81" w:rsidRPr="00A34CD9">
        <w:rPr>
          <w:rFonts w:cstheme="minorHAnsi"/>
          <w:bCs/>
          <w:lang w:val="en-GB"/>
        </w:rPr>
        <w:t>species</w:t>
      </w:r>
      <w:r w:rsidR="00AB6A15" w:rsidRPr="00A34CD9">
        <w:rPr>
          <w:rFonts w:cstheme="minorHAnsi"/>
          <w:bCs/>
          <w:lang w:val="en-GB"/>
        </w:rPr>
        <w:t>.</w:t>
      </w:r>
      <w:r w:rsidR="0078154F" w:rsidRPr="00A34CD9">
        <w:rPr>
          <w:rFonts w:cstheme="minorHAnsi"/>
          <w:bCs/>
          <w:lang w:val="en-GB"/>
        </w:rPr>
        <w:t xml:space="preserve"> </w:t>
      </w:r>
      <w:r w:rsidR="00AB6A15" w:rsidRPr="00A34CD9">
        <w:rPr>
          <w:rFonts w:cstheme="minorHAnsi"/>
          <w:bCs/>
          <w:lang w:val="en-GB"/>
        </w:rPr>
        <w:t>The</w:t>
      </w:r>
      <w:r w:rsidR="00E52522" w:rsidRPr="00A34CD9">
        <w:rPr>
          <w:rFonts w:cstheme="minorHAnsi"/>
          <w:bCs/>
          <w:lang w:val="en-GB"/>
        </w:rPr>
        <w:t xml:space="preserve"> systematic, </w:t>
      </w:r>
      <w:proofErr w:type="gramStart"/>
      <w:r w:rsidR="00507DD8" w:rsidRPr="00A34CD9">
        <w:rPr>
          <w:rFonts w:cstheme="minorHAnsi"/>
          <w:bCs/>
          <w:lang w:val="en-GB"/>
        </w:rPr>
        <w:t>repeatable</w:t>
      </w:r>
      <w:proofErr w:type="gramEnd"/>
      <w:r w:rsidR="00E52522" w:rsidRPr="00A34CD9">
        <w:rPr>
          <w:rFonts w:cstheme="minorHAnsi"/>
          <w:bCs/>
          <w:lang w:val="en-GB"/>
        </w:rPr>
        <w:t xml:space="preserve"> and</w:t>
      </w:r>
      <w:r w:rsidR="00C97B92" w:rsidRPr="00A34CD9">
        <w:rPr>
          <w:rFonts w:cstheme="minorHAnsi"/>
          <w:bCs/>
          <w:lang w:val="en-GB"/>
        </w:rPr>
        <w:t xml:space="preserve"> standardised</w:t>
      </w:r>
      <w:r w:rsidR="00EC33E4" w:rsidRPr="00A34CD9">
        <w:rPr>
          <w:rFonts w:cstheme="minorHAnsi"/>
          <w:bCs/>
          <w:lang w:val="en-GB"/>
        </w:rPr>
        <w:t xml:space="preserve"> </w:t>
      </w:r>
      <w:r w:rsidR="00CC2A71" w:rsidRPr="00A34CD9">
        <w:rPr>
          <w:rFonts w:cstheme="minorHAnsi"/>
          <w:bCs/>
          <w:lang w:val="en-GB"/>
        </w:rPr>
        <w:t>ERAEF</w:t>
      </w:r>
      <w:r w:rsidR="00E375BD" w:rsidRPr="00A34CD9">
        <w:rPr>
          <w:rFonts w:cstheme="minorHAnsi"/>
          <w:lang w:val="en-GB"/>
        </w:rPr>
        <w:t xml:space="preserve"> </w:t>
      </w:r>
      <w:r w:rsidR="00826F2C" w:rsidRPr="00A34CD9">
        <w:rPr>
          <w:rFonts w:cstheme="minorHAnsi"/>
          <w:lang w:val="en-GB"/>
        </w:rPr>
        <w:t xml:space="preserve">followed in this study </w:t>
      </w:r>
      <w:r w:rsidR="00AB6A15" w:rsidRPr="00A34CD9">
        <w:rPr>
          <w:rFonts w:cstheme="minorHAnsi"/>
          <w:lang w:val="en-GB"/>
        </w:rPr>
        <w:t xml:space="preserve">can be used to </w:t>
      </w:r>
      <w:r w:rsidR="002E2FD5" w:rsidRPr="00A34CD9">
        <w:rPr>
          <w:rFonts w:cstheme="minorHAnsi"/>
          <w:lang w:val="en-GB"/>
        </w:rPr>
        <w:t xml:space="preserve">advice for </w:t>
      </w:r>
      <w:r w:rsidR="002E6D8E" w:rsidRPr="00A34CD9">
        <w:rPr>
          <w:rFonts w:cstheme="minorHAnsi"/>
          <w:lang w:val="en-GB"/>
        </w:rPr>
        <w:t xml:space="preserve">ecosystem-based </w:t>
      </w:r>
      <w:r w:rsidR="002E2FD5" w:rsidRPr="00A34CD9">
        <w:rPr>
          <w:rFonts w:cstheme="minorHAnsi"/>
          <w:lang w:val="en-GB"/>
        </w:rPr>
        <w:t>fisheries management</w:t>
      </w:r>
      <w:r w:rsidR="003A2D7C" w:rsidRPr="00A34CD9">
        <w:rPr>
          <w:rFonts w:cstheme="minorHAnsi"/>
          <w:lang w:val="en-GB"/>
        </w:rPr>
        <w:t xml:space="preserve"> </w:t>
      </w:r>
      <w:r w:rsidR="003644D0" w:rsidRPr="00A34CD9">
        <w:rPr>
          <w:rFonts w:cstheme="minorHAnsi"/>
          <w:lang w:val="en-GB"/>
        </w:rPr>
        <w:t xml:space="preserve">to </w:t>
      </w:r>
      <w:r w:rsidR="00826F2C" w:rsidRPr="00A34CD9">
        <w:rPr>
          <w:rFonts w:cstheme="minorHAnsi"/>
          <w:lang w:val="en-GB"/>
        </w:rPr>
        <w:t>improve management measures</w:t>
      </w:r>
      <w:r w:rsidR="0017635B" w:rsidRPr="00A34CD9">
        <w:rPr>
          <w:rFonts w:cstheme="minorHAnsi"/>
          <w:lang w:val="en-GB"/>
        </w:rPr>
        <w:t xml:space="preserve"> </w:t>
      </w:r>
      <w:r w:rsidR="00CF1830" w:rsidRPr="00A34CD9">
        <w:rPr>
          <w:rFonts w:cstheme="minorHAnsi"/>
          <w:lang w:val="en-GB"/>
        </w:rPr>
        <w:t xml:space="preserve">for reducing bycatch </w:t>
      </w:r>
      <w:r w:rsidR="0017635B" w:rsidRPr="00A34CD9">
        <w:rPr>
          <w:rFonts w:cstheme="minorHAnsi"/>
          <w:lang w:val="en-GB"/>
        </w:rPr>
        <w:t xml:space="preserve">of </w:t>
      </w:r>
      <w:r w:rsidR="0008299E" w:rsidRPr="00A34CD9">
        <w:rPr>
          <w:rFonts w:cstheme="minorHAnsi"/>
          <w:lang w:val="en-GB"/>
        </w:rPr>
        <w:t>PETs</w:t>
      </w:r>
      <w:r w:rsidR="00CF1830" w:rsidRPr="00A34CD9">
        <w:rPr>
          <w:rFonts w:cstheme="minorHAnsi"/>
          <w:lang w:val="en-GB"/>
        </w:rPr>
        <w:t xml:space="preserve"> around the world</w:t>
      </w:r>
      <w:r w:rsidR="00826F2C" w:rsidRPr="00A34CD9">
        <w:rPr>
          <w:rFonts w:cstheme="minorHAnsi"/>
          <w:lang w:val="en-GB"/>
        </w:rPr>
        <w:t>.</w:t>
      </w:r>
      <w:r w:rsidR="003F1F3C" w:rsidRPr="00A34CD9">
        <w:rPr>
          <w:rFonts w:cstheme="minorHAnsi"/>
          <w:lang w:val="en-GB"/>
        </w:rPr>
        <w:t xml:space="preserve"> </w:t>
      </w:r>
    </w:p>
    <w:bookmarkEnd w:id="4"/>
    <w:p w14:paraId="3AE6224B" w14:textId="64C595A7" w:rsidR="00F47D01" w:rsidRPr="00A34CD9" w:rsidRDefault="006703DD" w:rsidP="00FC07E9">
      <w:pPr>
        <w:suppressLineNumbers/>
        <w:spacing w:line="276" w:lineRule="auto"/>
        <w:jc w:val="both"/>
        <w:rPr>
          <w:rFonts w:cstheme="minorHAnsi"/>
          <w:bCs/>
          <w:lang w:val="en-GB"/>
        </w:rPr>
      </w:pPr>
      <w:r w:rsidRPr="00A34CD9">
        <w:rPr>
          <w:rFonts w:cstheme="minorHAnsi"/>
          <w:b/>
          <w:lang w:val="en-GB"/>
        </w:rPr>
        <w:t xml:space="preserve">Key Words: </w:t>
      </w:r>
      <w:bookmarkStart w:id="6" w:name="38500"/>
      <w:bookmarkEnd w:id="6"/>
      <w:r w:rsidR="0057509C" w:rsidRPr="00A34CD9">
        <w:rPr>
          <w:rFonts w:cstheme="minorHAnsi"/>
          <w:bCs/>
          <w:lang w:val="en-GB"/>
        </w:rPr>
        <w:t>artisanal fisheries,</w:t>
      </w:r>
      <w:r w:rsidR="0057509C" w:rsidRPr="00A34CD9">
        <w:rPr>
          <w:rFonts w:cstheme="minorHAnsi"/>
          <w:b/>
          <w:lang w:val="en-GB"/>
        </w:rPr>
        <w:t xml:space="preserve"> </w:t>
      </w:r>
      <w:r w:rsidR="008427EB" w:rsidRPr="00A34CD9">
        <w:rPr>
          <w:rFonts w:cstheme="minorHAnsi"/>
          <w:bCs/>
          <w:lang w:val="en-GB"/>
        </w:rPr>
        <w:t xml:space="preserve">bycatch, </w:t>
      </w:r>
      <w:r w:rsidR="006C549F" w:rsidRPr="00A34CD9">
        <w:rPr>
          <w:rFonts w:cstheme="minorHAnsi"/>
          <w:bCs/>
          <w:lang w:val="en-GB"/>
        </w:rPr>
        <w:t>ecological risk assessment</w:t>
      </w:r>
      <w:r w:rsidR="00835943" w:rsidRPr="00A34CD9">
        <w:rPr>
          <w:rFonts w:cstheme="minorHAnsi"/>
          <w:bCs/>
          <w:lang w:val="en-GB"/>
        </w:rPr>
        <w:t xml:space="preserve">, </w:t>
      </w:r>
      <w:r w:rsidR="006C549F" w:rsidRPr="00A34CD9">
        <w:rPr>
          <w:rFonts w:cstheme="minorHAnsi"/>
          <w:bCs/>
          <w:lang w:val="en-GB"/>
        </w:rPr>
        <w:t xml:space="preserve">Productivity-Susceptibility </w:t>
      </w:r>
      <w:r w:rsidR="00634414">
        <w:rPr>
          <w:rFonts w:cstheme="minorHAnsi"/>
          <w:bCs/>
          <w:lang w:val="en-GB"/>
        </w:rPr>
        <w:t>A</w:t>
      </w:r>
      <w:r w:rsidR="006C549F" w:rsidRPr="00A34CD9">
        <w:rPr>
          <w:rFonts w:cstheme="minorHAnsi"/>
          <w:bCs/>
          <w:lang w:val="en-GB"/>
        </w:rPr>
        <w:t xml:space="preserve">nalysis, </w:t>
      </w:r>
      <w:r w:rsidR="003F17BD" w:rsidRPr="00A34CD9">
        <w:rPr>
          <w:rFonts w:cstheme="minorHAnsi"/>
          <w:bCs/>
          <w:lang w:val="en-GB"/>
        </w:rPr>
        <w:t xml:space="preserve">seabird, </w:t>
      </w:r>
      <w:r w:rsidR="008427EB" w:rsidRPr="00A34CD9">
        <w:rPr>
          <w:rFonts w:cstheme="minorHAnsi"/>
          <w:bCs/>
          <w:lang w:val="en-GB"/>
        </w:rPr>
        <w:t>species distribution models</w:t>
      </w:r>
      <w:r w:rsidR="003F17BD" w:rsidRPr="00A34CD9">
        <w:rPr>
          <w:rFonts w:cstheme="minorHAnsi"/>
          <w:bCs/>
          <w:lang w:val="en-GB"/>
        </w:rPr>
        <w:t>.</w:t>
      </w:r>
    </w:p>
    <w:p w14:paraId="4AB0CD85" w14:textId="7FC4C5D3" w:rsidR="006C549F" w:rsidRPr="00A34CD9" w:rsidRDefault="006C549F" w:rsidP="00FD5F44">
      <w:pPr>
        <w:spacing w:line="480" w:lineRule="auto"/>
        <w:jc w:val="both"/>
        <w:rPr>
          <w:rFonts w:cstheme="minorHAnsi"/>
          <w:bCs/>
          <w:lang w:val="en-GB"/>
        </w:rPr>
        <w:sectPr w:rsidR="006C549F" w:rsidRPr="00A34CD9" w:rsidSect="00092E18">
          <w:pgSz w:w="11906" w:h="16838"/>
          <w:pgMar w:top="1440" w:right="1080" w:bottom="1440" w:left="1080" w:header="708" w:footer="708" w:gutter="0"/>
          <w:lnNumType w:countBy="1" w:restart="continuous"/>
          <w:cols w:space="708"/>
          <w:docGrid w:linePitch="360"/>
        </w:sectPr>
      </w:pPr>
    </w:p>
    <w:p w14:paraId="19C14476" w14:textId="3CCE2010" w:rsidR="00023D8B" w:rsidRPr="00A34CD9" w:rsidRDefault="00B401EF" w:rsidP="002A528E">
      <w:pPr>
        <w:pStyle w:val="Ttulo1"/>
        <w:numPr>
          <w:ilvl w:val="0"/>
          <w:numId w:val="1"/>
        </w:numPr>
        <w:suppressLineNumbers/>
        <w:rPr>
          <w:rFonts w:asciiTheme="minorHAnsi" w:hAnsiTheme="minorHAnsi" w:cstheme="minorHAnsi"/>
          <w:lang w:val="en-GB"/>
        </w:rPr>
      </w:pPr>
      <w:r w:rsidRPr="00A34CD9">
        <w:rPr>
          <w:rFonts w:asciiTheme="minorHAnsi" w:hAnsiTheme="minorHAnsi" w:cstheme="minorHAnsi"/>
          <w:lang w:val="en-GB"/>
        </w:rPr>
        <w:lastRenderedPageBreak/>
        <w:t>I</w:t>
      </w:r>
      <w:r w:rsidR="00681F69" w:rsidRPr="00A34CD9">
        <w:rPr>
          <w:rFonts w:asciiTheme="minorHAnsi" w:hAnsiTheme="minorHAnsi" w:cstheme="minorHAnsi"/>
          <w:lang w:val="en-GB"/>
        </w:rPr>
        <w:t>NTRODUCTION</w:t>
      </w:r>
    </w:p>
    <w:p w14:paraId="7AC8E4A1" w14:textId="7F762338" w:rsidR="00DD7BD4" w:rsidRPr="00A34CD9" w:rsidRDefault="00933533" w:rsidP="002A528E">
      <w:pPr>
        <w:suppressLineNumbers/>
        <w:spacing w:line="480" w:lineRule="auto"/>
        <w:jc w:val="both"/>
        <w:rPr>
          <w:rFonts w:cstheme="minorHAnsi"/>
          <w:lang w:val="en-GB"/>
        </w:rPr>
      </w:pPr>
      <w:r w:rsidRPr="00A34CD9">
        <w:rPr>
          <w:rFonts w:cstheme="minorHAnsi"/>
          <w:lang w:val="en-GB"/>
        </w:rPr>
        <w:t xml:space="preserve">Unintended </w:t>
      </w:r>
      <w:r w:rsidR="00BC00FC" w:rsidRPr="00A34CD9">
        <w:rPr>
          <w:rFonts w:cstheme="minorHAnsi"/>
          <w:lang w:val="en-GB"/>
        </w:rPr>
        <w:t>catch of non-target species (</w:t>
      </w:r>
      <w:r w:rsidR="00E852EF" w:rsidRPr="00A34CD9">
        <w:rPr>
          <w:rFonts w:cstheme="minorHAnsi"/>
          <w:i/>
          <w:iCs/>
          <w:lang w:val="en-GB"/>
        </w:rPr>
        <w:t>’</w:t>
      </w:r>
      <w:r w:rsidR="00BC00FC" w:rsidRPr="00A34CD9">
        <w:rPr>
          <w:rFonts w:cstheme="minorHAnsi"/>
          <w:lang w:val="en-GB"/>
        </w:rPr>
        <w:t>b</w:t>
      </w:r>
      <w:r w:rsidR="00695EBE" w:rsidRPr="00A34CD9">
        <w:rPr>
          <w:rFonts w:cstheme="minorHAnsi"/>
          <w:lang w:val="en-GB"/>
        </w:rPr>
        <w:t>ycatch</w:t>
      </w:r>
      <w:r w:rsidR="00E852EF" w:rsidRPr="00A34CD9">
        <w:rPr>
          <w:rFonts w:cstheme="minorHAnsi"/>
          <w:lang w:val="en-GB"/>
        </w:rPr>
        <w:t>’</w:t>
      </w:r>
      <w:r w:rsidR="00BC00FC" w:rsidRPr="00A34CD9">
        <w:rPr>
          <w:rFonts w:cstheme="minorHAnsi"/>
          <w:lang w:val="en-GB"/>
        </w:rPr>
        <w:t>)</w:t>
      </w:r>
      <w:r w:rsidR="00695EBE" w:rsidRPr="00A34CD9">
        <w:rPr>
          <w:rFonts w:cstheme="minorHAnsi"/>
          <w:lang w:val="en-GB"/>
        </w:rPr>
        <w:t xml:space="preserve"> </w:t>
      </w:r>
      <w:r w:rsidR="005617C6" w:rsidRPr="00A34CD9">
        <w:rPr>
          <w:rFonts w:cstheme="minorHAnsi"/>
          <w:lang w:val="en-GB"/>
        </w:rPr>
        <w:t xml:space="preserve">has long been identified as </w:t>
      </w:r>
      <w:r w:rsidR="0061026C" w:rsidRPr="00A34CD9">
        <w:rPr>
          <w:rFonts w:cstheme="minorHAnsi"/>
          <w:lang w:val="en-GB"/>
        </w:rPr>
        <w:t>one of the most common anthropogenic threat causing at-sea mortality and driving population declines of several protected, endangered, and threatened species (</w:t>
      </w:r>
      <w:r w:rsidR="004A0845" w:rsidRPr="00A34CD9">
        <w:rPr>
          <w:rFonts w:cstheme="minorHAnsi"/>
          <w:lang w:val="en-GB"/>
        </w:rPr>
        <w:t>PETs</w:t>
      </w:r>
      <w:r w:rsidR="0061026C" w:rsidRPr="00A34CD9">
        <w:rPr>
          <w:rFonts w:cstheme="minorHAnsi"/>
          <w:lang w:val="en-GB"/>
        </w:rPr>
        <w:t xml:space="preserve">) </w:t>
      </w:r>
      <w:r w:rsidR="0061026C" w:rsidRPr="00A34CD9">
        <w:rPr>
          <w:rFonts w:cstheme="minorHAnsi"/>
          <w:lang w:val="en-GB"/>
        </w:rPr>
        <w:fldChar w:fldCharType="begin" w:fldLock="1"/>
      </w:r>
      <w:r w:rsidR="00416840" w:rsidRPr="00A34CD9">
        <w:rPr>
          <w:rFonts w:cstheme="minorHAnsi"/>
          <w:lang w:val="en-GB"/>
        </w:rPr>
        <w:instrText>ADDIN CSL_CITATION {"citationItems":[{"id":"ITEM-1","itemData":{"DOI":"10.1111/j.1523-1739.2006.00338.x","ISSN":"08888892","PMID":"16909669","abstract":"Fisheries bycatch poses a significant threat to many populations of marine mammals, but there are few published estimates of the magnitude of these catches. We estimated marine mammal bycatch in U.S. fisheries from 1990 to 1999 with data taken from the stock assessment reports required by the U.S. Marine Mammal Protection Act. The mean annual bycatch of marine mammals during this period was 6215 ± 448 (SE). Bycatch of cetaceans and pinnipeds occurred in similar numbers. Most cetacean (84%) and pinniped (98%) bycatch occurred in gill-net fisheries. Marine mammal bycatch declined significantly over the decade, primarily because of a reduction in the bycatch of cetaceans. Total marine mammal bycatch was significantly lower after the implementation of take reduction measures in the latter half of the decade. We derived a crude first estimate of marine mammal bycatch in the world's fisheries by expanding U.S. bycatch with data on fleet composition from the Food and Agriculture Organization. The global bycatch of marine mammals is in the hundreds of thousands. Bycatch is likely to have significant demographic effects on many populations of marine mammals. Better data are urgently needed to fully understand the impact of these interactions. ©2006 Society for Conservation Biology.","author":[{"dropping-particle":"","family":"Read","given":"Andrew J","non-dropping-particle":"","parse-names":false,"suffix":""},{"dropping-particle":"","family":"Drinker","given":"Phebe","non-dropping-particle":"","parse-names":false,"suffix":""},{"dropping-particle":"","family":"Northridge","given":"Simon","non-dropping-particle":"","parse-names":false,"suffix":""}],"container-title":"Conservation Biology","id":"ITEM-1","issue":"1","issued":{"date-parts":[["2006","2"]]},"page":"163-169","title":"Bycatch of marine mammals in U.S. and global fisheries","type":"article-journal","volume":"20"},"uris":["http://www.mendeley.com/documents/?uuid=bff40809-e708-36cd-b326-b896f4cb896e"]},{"id":"ITEM-2","itemData":{"DOI":"10.1016/j.marpol.2014.12.017","ISSN":"0308597X","abstract":"This study comprised a meta-analysis of elasmobranch bycatch in commercial longline, trawl, purse-seine and gillnet fisheries in order to obtain a general perspective of bycatch patterns, and to expose knowledge gaps and identify management and research priorities. Two bycatch ratios were considered: the number and the weight of elasmobranch bycatch relative to that of the target species captured. Patterns were determined through machine learning algorithms with gear type, oceanic region, habitat and the presence or absence of bycatch management measures as candidate predictors. There are considerable information gaps. Most of the current information on elasmobranch bycatch is for the North Atlantic, which is not where the greatest fishing pressure is exerted, so several fisheries were largely under-represented. Overall for sharks, gear type was the most important predictor with pelagic longline fisheries in the South Atlantic displaying the highest bycatch ratios. No patterns were found for ray bycatch ratios. For the fisheries considered in this study, pelagic longlines, and deep-sea and coastal trawl fisheries had the largest total annual shark and ray bycatch, respectively. Blue sharks (Prionace glauca, Carcharhinidae) dominated the total annual bycatch of longline fisheries. For other fishing gears, the annual species-specific bycatch composition varied across oceanic regions. Many of the fisheries with the largest elasmobranch bycatch operate over large spatial scales and often in international waters. International management, mitigation and cooperation are an essential component for the sustainability of elasmobranch bycatch species. Data collection systems and data availability are required at a global scale to improve assessments of elasmobranch bycatch and this should be a high priority for ongoing management and monitoring. •The gear type of a particular fishery was the most important predictor variable for shark bycatch ratios.•Pelagic longline fisheries had the highest shark bycatch ratios.•Deep-sea trawl and pelagic longline fisheries caught the largest quantity of rays and sharks, respectively.•Substantial information gaps exist in elasmobranch bycatch data complicating global analyses.","author":[{"dropping-particle":"","family":"Oliver","given":"Shelby","non-dropping-particle":"","parse-names":false,"suffix":""},{"dropping-particle":"","family":"Braccini","given":"Matias","non-dropping-particle":"","parse-names":false,"suffix":""},{"dropping-particle":"","family":"Newman","given":"Stephen J.","non-dropping-particle":"","parse-names":false,"suffix":""},{"dropping-particle":"","family":"Harvey","given":"Euan S.","non-dropping-particle":"","parse-names":false,"suffix":""}],"container-title":"Marine Policy","id":"ITEM-2","issued":{"date-parts":[["2015","4","1"]]},"page":"86-97","publisher":"Elsevier Ltd","title":"Global patterns in the bycatch of sharks and rays","type":"article-journal","volume":"54"},"uris":["http://www.mendeley.com/documents/?uuid=5935cec9-8416-354d-acd5-37571d7d41c4"]},{"id":"ITEM-3","itemData":{"DOI":"10.1016/j.biocon.2019.06.033","ISSN":"00063207","author":[{"dropping-particle":"","family":"Dias","given":"Maria P.","non-dropping-particle":"","parse-names":false,"suffix":""},{"dropping-particle":"","family":"Martin","given":"Rob","non-dropping-particle":"","parse-names":false,"suffix":""},{"dropping-particle":"","family":"Pearmain","given":"Elizabeth J.","non-dropping-particle":"","parse-names":false,"suffix":""},{"dropping-particle":"","family":"Burfield","given":"Ian J.","non-dropping-particle":"","parse-names":false,"suffix":""},{"dropping-particle":"","family":"Small","given":"Cleo","non-dropping-particle":"","parse-names":false,"suffix":""},{"dropping-particle":"","family":"Phillips","given":"Richard A.","non-dropping-particle":"","parse-names":false,"suffix":""},{"dropping-particle":"","family":"Yates","given":"Oliver","non-dropping-particle":"","parse-names":false,"suffix":""},{"dropping-particle":"","family":"Lascelles","given":"Ben","non-dropping-particle":"","parse-names":false,"suffix":""},{"dropping-particle":"","family":"Borboroglu","given":"Pablo Garcia","non-dropping-particle":"","parse-names":false,"suffix":""},{"dropping-particle":"","family":"Croxall","given":"John P.","non-dropping-particle":"","parse-names":false,"suffix":""}],"container-title":"Biological Conservation","id":"ITEM-3","issued":{"date-parts":[["2019"]]},"page":"525-537","title":"Threats to seabirds: A global assessment","type":"article-journal","volume":"237"},"uris":["http://www.mendeley.com/documents/?uuid=df6f503f-e7ea-4261-9499-2e66c4275190"]}],"mendeley":{"formattedCitation":"(Read &lt;i&gt;et al.&lt;/i&gt;, 2006; Oliver &lt;i&gt;et al.&lt;/i&gt;, 2015; Dias &lt;i&gt;et al.&lt;/i&gt;, 2019)","plainTextFormattedCitation":"(Read et al., 2006; Oliver et al., 2015; Dias et al., 2019)","previouslyFormattedCitation":"(Read &lt;i&gt;et al.&lt;/i&gt;, 2006; Oliver &lt;i&gt;et al.&lt;/i&gt;, 2015; Dias &lt;i&gt;et al.&lt;/i&gt;, 2019)"},"properties":{"noteIndex":0},"schema":"https://github.com/citation-style-language/schema/raw/master/csl-citation.json"}</w:instrText>
      </w:r>
      <w:r w:rsidR="0061026C" w:rsidRPr="00A34CD9">
        <w:rPr>
          <w:rFonts w:cstheme="minorHAnsi"/>
          <w:lang w:val="en-GB"/>
        </w:rPr>
        <w:fldChar w:fldCharType="separate"/>
      </w:r>
      <w:r w:rsidR="00133476" w:rsidRPr="00A34CD9">
        <w:rPr>
          <w:rFonts w:cstheme="minorHAnsi"/>
          <w:noProof/>
          <w:lang w:val="en-GB"/>
        </w:rPr>
        <w:t xml:space="preserve">(Read </w:t>
      </w:r>
      <w:r w:rsidR="00133476" w:rsidRPr="00A34CD9">
        <w:rPr>
          <w:rFonts w:cstheme="minorHAnsi"/>
          <w:i/>
          <w:noProof/>
          <w:lang w:val="en-GB"/>
        </w:rPr>
        <w:t>et al.</w:t>
      </w:r>
      <w:r w:rsidR="00133476" w:rsidRPr="00A34CD9">
        <w:rPr>
          <w:rFonts w:cstheme="minorHAnsi"/>
          <w:noProof/>
          <w:lang w:val="en-GB"/>
        </w:rPr>
        <w:t xml:space="preserve">, 2006; Oliver </w:t>
      </w:r>
      <w:r w:rsidR="00133476" w:rsidRPr="00A34CD9">
        <w:rPr>
          <w:rFonts w:cstheme="minorHAnsi"/>
          <w:i/>
          <w:noProof/>
          <w:lang w:val="en-GB"/>
        </w:rPr>
        <w:t>et al.</w:t>
      </w:r>
      <w:r w:rsidR="00133476" w:rsidRPr="00A34CD9">
        <w:rPr>
          <w:rFonts w:cstheme="minorHAnsi"/>
          <w:noProof/>
          <w:lang w:val="en-GB"/>
        </w:rPr>
        <w:t xml:space="preserve">, 2015; Dias </w:t>
      </w:r>
      <w:r w:rsidR="00133476" w:rsidRPr="00A34CD9">
        <w:rPr>
          <w:rFonts w:cstheme="minorHAnsi"/>
          <w:i/>
          <w:noProof/>
          <w:lang w:val="en-GB"/>
        </w:rPr>
        <w:t>et al.</w:t>
      </w:r>
      <w:r w:rsidR="00133476" w:rsidRPr="00A34CD9">
        <w:rPr>
          <w:rFonts w:cstheme="minorHAnsi"/>
          <w:noProof/>
          <w:lang w:val="en-GB"/>
        </w:rPr>
        <w:t>, 2019)</w:t>
      </w:r>
      <w:r w:rsidR="0061026C" w:rsidRPr="00A34CD9">
        <w:rPr>
          <w:rFonts w:cstheme="minorHAnsi"/>
          <w:lang w:val="en-GB"/>
        </w:rPr>
        <w:fldChar w:fldCharType="end"/>
      </w:r>
      <w:r w:rsidR="0061026C" w:rsidRPr="00A34CD9">
        <w:rPr>
          <w:rFonts w:cstheme="minorHAnsi"/>
          <w:lang w:val="en-GB"/>
        </w:rPr>
        <w:t xml:space="preserve">. </w:t>
      </w:r>
      <w:r w:rsidR="00FB7B63" w:rsidRPr="00A34CD9">
        <w:rPr>
          <w:rFonts w:cstheme="minorHAnsi"/>
          <w:lang w:val="en-GB"/>
        </w:rPr>
        <w:t>Fisheries-related bycatch mortality</w:t>
      </w:r>
      <w:r w:rsidR="00F67D31" w:rsidRPr="00A34CD9">
        <w:rPr>
          <w:rFonts w:cstheme="minorHAnsi"/>
          <w:lang w:val="en-GB"/>
        </w:rPr>
        <w:t xml:space="preserve"> </w:t>
      </w:r>
      <w:r w:rsidR="000C3344" w:rsidRPr="00A34CD9">
        <w:rPr>
          <w:rFonts w:cstheme="minorHAnsi"/>
          <w:lang w:val="en-GB"/>
        </w:rPr>
        <w:t>has become</w:t>
      </w:r>
      <w:r w:rsidR="00F67D31" w:rsidRPr="00A34CD9">
        <w:rPr>
          <w:rFonts w:cstheme="minorHAnsi"/>
          <w:lang w:val="en-GB"/>
        </w:rPr>
        <w:t xml:space="preserve"> a major conservation concern specially for long-lived and highly migratory species</w:t>
      </w:r>
      <w:r w:rsidR="006E1693" w:rsidRPr="00A34CD9">
        <w:rPr>
          <w:rFonts w:cstheme="minorHAnsi"/>
          <w:lang w:val="en-GB"/>
        </w:rPr>
        <w:t xml:space="preserve"> </w:t>
      </w:r>
      <w:r w:rsidR="00F67D31" w:rsidRPr="00A34CD9">
        <w:rPr>
          <w:rFonts w:cstheme="minorHAnsi"/>
          <w:lang w:val="en-GB"/>
        </w:rPr>
        <w:t xml:space="preserve">causing </w:t>
      </w:r>
      <w:r w:rsidR="00914003" w:rsidRPr="00A34CD9">
        <w:rPr>
          <w:rFonts w:cstheme="minorHAnsi"/>
          <w:lang w:val="en-GB"/>
        </w:rPr>
        <w:t>several</w:t>
      </w:r>
      <w:r w:rsidR="00F67D31" w:rsidRPr="00A34CD9">
        <w:rPr>
          <w:rFonts w:cstheme="minorHAnsi"/>
          <w:lang w:val="en-GB"/>
        </w:rPr>
        <w:t xml:space="preserve"> ecological effects</w:t>
      </w:r>
      <w:r w:rsidR="00914003" w:rsidRPr="00A34CD9">
        <w:rPr>
          <w:rFonts w:cstheme="minorHAnsi"/>
          <w:lang w:val="en-GB"/>
        </w:rPr>
        <w:t>, either</w:t>
      </w:r>
      <w:r w:rsidR="00204F5A" w:rsidRPr="00A34CD9">
        <w:rPr>
          <w:rFonts w:cstheme="minorHAnsi"/>
          <w:lang w:val="en-GB"/>
        </w:rPr>
        <w:t xml:space="preserve"> </w:t>
      </w:r>
      <w:r w:rsidR="00F67D31" w:rsidRPr="00A34CD9">
        <w:rPr>
          <w:rFonts w:cstheme="minorHAnsi"/>
          <w:lang w:val="en-GB"/>
        </w:rPr>
        <w:t xml:space="preserve">directly reducing species populations </w:t>
      </w:r>
      <w:r w:rsidR="00914003" w:rsidRPr="00A34CD9">
        <w:rPr>
          <w:rFonts w:cstheme="minorHAnsi"/>
          <w:lang w:val="en-GB"/>
        </w:rPr>
        <w:t xml:space="preserve">or </w:t>
      </w:r>
      <w:r w:rsidR="00F67D31" w:rsidRPr="00A34CD9">
        <w:rPr>
          <w:rFonts w:cstheme="minorHAnsi"/>
          <w:lang w:val="en-GB"/>
        </w:rPr>
        <w:t>indirectly changing dynamics of oceans systems (Lewison et al., 2014; McCauley et al., 2015). On one hand, an increase in adult mortality of long-lived species (</w:t>
      </w:r>
      <w:r w:rsidR="000C3344" w:rsidRPr="00A34CD9">
        <w:rPr>
          <w:rFonts w:cstheme="minorHAnsi"/>
          <w:i/>
          <w:iCs/>
          <w:lang w:val="en-GB"/>
        </w:rPr>
        <w:t>i.e.</w:t>
      </w:r>
      <w:r w:rsidR="000C3344" w:rsidRPr="00A34CD9">
        <w:rPr>
          <w:rFonts w:cstheme="minorHAnsi"/>
          <w:lang w:val="en-GB"/>
        </w:rPr>
        <w:t>, those with</w:t>
      </w:r>
      <w:r w:rsidR="000C3344" w:rsidRPr="00A34CD9">
        <w:rPr>
          <w:rFonts w:cstheme="minorHAnsi"/>
          <w:i/>
          <w:iCs/>
          <w:lang w:val="en-GB"/>
        </w:rPr>
        <w:t xml:space="preserve"> </w:t>
      </w:r>
      <w:r w:rsidR="00F67D31" w:rsidRPr="00A34CD9">
        <w:rPr>
          <w:rFonts w:cstheme="minorHAnsi"/>
          <w:lang w:val="en-GB"/>
        </w:rPr>
        <w:t xml:space="preserve">slow growth, late maturation and low fecundity) could cause a population decline </w:t>
      </w:r>
      <w:r w:rsidR="002D6F7D" w:rsidRPr="00A34CD9">
        <w:rPr>
          <w:rFonts w:cstheme="minorHAnsi"/>
          <w:lang w:val="en-GB"/>
        </w:rPr>
        <w:t>over short timescale</w:t>
      </w:r>
      <w:r w:rsidR="00F67D31" w:rsidRPr="00A34CD9">
        <w:rPr>
          <w:rFonts w:cstheme="minorHAnsi"/>
          <w:lang w:val="en-GB"/>
        </w:rPr>
        <w:t xml:space="preserve"> (</w:t>
      </w:r>
      <w:r w:rsidR="00F67D31" w:rsidRPr="00A34CD9">
        <w:rPr>
          <w:rFonts w:cstheme="minorHAnsi"/>
          <w:i/>
          <w:iCs/>
          <w:lang w:val="en-GB"/>
        </w:rPr>
        <w:t>i.e.</w:t>
      </w:r>
      <w:r w:rsidR="002D6F7D" w:rsidRPr="00A34CD9">
        <w:rPr>
          <w:rFonts w:cstheme="minorHAnsi"/>
          <w:i/>
          <w:iCs/>
          <w:lang w:val="en-GB"/>
        </w:rPr>
        <w:t>,</w:t>
      </w:r>
      <w:r w:rsidR="00F67D31" w:rsidRPr="00A34CD9">
        <w:rPr>
          <w:rFonts w:cstheme="minorHAnsi"/>
          <w:lang w:val="en-GB"/>
        </w:rPr>
        <w:t xml:space="preserve"> decades</w:t>
      </w:r>
      <w:r w:rsidR="00416840" w:rsidRPr="00A34CD9">
        <w:rPr>
          <w:rFonts w:cstheme="minorHAnsi"/>
          <w:lang w:val="en-GB"/>
        </w:rPr>
        <w:t xml:space="preserve">; </w:t>
      </w:r>
      <w:r w:rsidR="00416840" w:rsidRPr="00A34CD9">
        <w:rPr>
          <w:rFonts w:cstheme="minorHAnsi"/>
          <w:lang w:val="en-GB"/>
        </w:rPr>
        <w:fldChar w:fldCharType="begin" w:fldLock="1"/>
      </w:r>
      <w:r w:rsidR="00416840" w:rsidRPr="00A34CD9">
        <w:rPr>
          <w:rFonts w:cstheme="minorHAnsi"/>
          <w:lang w:val="en-GB"/>
        </w:rPr>
        <w:instrText>ADDIN CSL_CITATION {"citationItems":[{"id":"ITEM-1","itemData":{"DOI":"10.1111/1365-2656.13044","ISSN":"13652656","PMID":"31206644","abstract":"The processes that drive the ontogeny of migratory strategies in long-lived animals with slow maturation remain enigmatic. While some short-lived migrants are known or believed to repeat the same migratory patterns throughout their lives, little is known on the time required for immature long-lived migrants to progressively acquire adult-like migratory behaviours, or which aspects take longer to refine during the maturation process. Here, we studied the ontogeny of long-distance migratory strategies and related patterns of spatial distribution in a long-lived seabird species during the annual cycle. To do so, we deployed light-level geolocators on 4- to 9-year-old immature Cory's shearwaters (Calonectris borealis) and on breeding adults. We revealed that migratory timings and destinations of young shearwaters progressively changed with age. The effect of ageing was remarkably evident on spring migratory performance and phenology. Birds gradually shortened the duration of the non-breeding period by advancing departure date and reducing travelling time, which resulted in a sequential arrival at the colony of the various age contingents. Ageing immatures gradually changed from a more exploratory strategy to a more conservative way of exploiting resources, reducing both their year-round spatial spread across oceanic domains and the total distance travelled. Immatures always performed a trans-equatorial migration to the Southern Hemisphere, contrasting with 17% of the adults which remained in the North Atlantic year-round. Finally, during the breeding season immatures were widely dispersed through the North Atlantic reducing their overlap with breeding adults. Our long-term study provides empirical support to the hypothesis that in long-lived species, the refinement of migratory behaviour and year-round spatial distribution is a progressive process mediated by age and experience, where life stage constraints and competition for resources may also play a role. The emerging pattern suggests that for some avian taxa, the ontogeny of migratory strategy is a prolonged, complex and dynamic process.","author":[{"dropping-particle":"","family":"Campioni","given":"Letizia","non-dropping-particle":"","parse-names":false,"suffix":""},{"dropping-particle":"","family":"Dias","given":"Maria Peixe","non-dropping-particle":"","parse-names":false,"suffix":""},{"dropping-particle":"","family":"Granadeiro","given":"José Pedro","non-dropping-particle":"","parse-names":false,"suffix":""},{"dropping-particle":"","family":"Catry","given":"Paulo","non-dropping-particle":"","parse-names":false,"suffix":""}],"container-title":"Journal of Animal Ecology","id":"ITEM-1","issue":"1","issued":{"date-parts":[["2020"]]},"page":"29-43","title":"An ontogenetic perspective on migratory strategy of a long-lived pelagic seabird: Timings and destinations change progressively during maturation","type":"article-journal","volume":"89"},"uris":["http://www.mendeley.com/documents/?uuid=a849542e-01ef-381b-81f0-8b120df4bfad"]}],"mendeley":{"formattedCitation":"(Campioni &lt;i&gt;et al.&lt;/i&gt;, 2020)","manualFormatting":"Campioni et al., 2020)","plainTextFormattedCitation":"(Campioni et al., 2020)","previouslyFormattedCitation":"(Campioni &lt;i&gt;et al.&lt;/i&gt;, 2020)"},"properties":{"noteIndex":0},"schema":"https://github.com/citation-style-language/schema/raw/master/csl-citation.json"}</w:instrText>
      </w:r>
      <w:r w:rsidR="00416840" w:rsidRPr="00A34CD9">
        <w:rPr>
          <w:rFonts w:cstheme="minorHAnsi"/>
          <w:lang w:val="en-GB"/>
        </w:rPr>
        <w:fldChar w:fldCharType="separate"/>
      </w:r>
      <w:r w:rsidR="00416840" w:rsidRPr="00A34CD9">
        <w:rPr>
          <w:rFonts w:cstheme="minorHAnsi"/>
          <w:noProof/>
          <w:lang w:val="en-GB"/>
        </w:rPr>
        <w:t xml:space="preserve">Campioni </w:t>
      </w:r>
      <w:r w:rsidR="00416840" w:rsidRPr="00A34CD9">
        <w:rPr>
          <w:rFonts w:cstheme="minorHAnsi"/>
          <w:i/>
          <w:noProof/>
          <w:lang w:val="en-GB"/>
        </w:rPr>
        <w:t>et al.</w:t>
      </w:r>
      <w:r w:rsidR="00416840" w:rsidRPr="00A34CD9">
        <w:rPr>
          <w:rFonts w:cstheme="minorHAnsi"/>
          <w:noProof/>
          <w:lang w:val="en-GB"/>
        </w:rPr>
        <w:t>, 2020)</w:t>
      </w:r>
      <w:r w:rsidR="00416840" w:rsidRPr="00A34CD9">
        <w:rPr>
          <w:rFonts w:cstheme="minorHAnsi"/>
          <w:lang w:val="en-GB"/>
        </w:rPr>
        <w:fldChar w:fldCharType="end"/>
      </w:r>
      <w:r w:rsidR="00F67D31" w:rsidRPr="00A34CD9">
        <w:rPr>
          <w:rFonts w:cstheme="minorHAnsi"/>
          <w:lang w:val="en-GB"/>
        </w:rPr>
        <w:t>. On the other, highly mobile species perform wide‐ranging movements frequently encountering multiple fisheries and, often aggregating in high biological production areas</w:t>
      </w:r>
      <w:r w:rsidR="00416840" w:rsidRPr="00A34CD9">
        <w:rPr>
          <w:rFonts w:cstheme="minorHAnsi"/>
          <w:lang w:val="en-GB"/>
        </w:rPr>
        <w:t xml:space="preserve"> </w:t>
      </w:r>
      <w:r w:rsidR="00416840" w:rsidRPr="00A34CD9">
        <w:rPr>
          <w:rFonts w:cstheme="minorHAnsi"/>
          <w:lang w:val="en-GB"/>
        </w:rPr>
        <w:fldChar w:fldCharType="begin" w:fldLock="1"/>
      </w:r>
      <w:r w:rsidR="00416840" w:rsidRPr="00A34CD9">
        <w:rPr>
          <w:rFonts w:cstheme="minorHAnsi"/>
          <w:lang w:val="en-GB"/>
        </w:rPr>
        <w:instrText>ADDIN CSL_CITATION {"citationItems":[{"id":"ITEM-1","itemData":{"DOI":"10.1007/s00300-018-2381-7","ISSN":"07224060","abstract":"Ardenna shearwaters have among the most extreme foraging trips of any central place forager, yet little is known about the foraging range of the largest member of the genus, the Great Shearwater (Ardenna gravis). GPS loggers were deployed on 20 Great Shearwaters (10 males and 10 females) nesting on Gough Island in the South Atlantic Ocean during the incubation and chick-rearing periods, recording a total of 25 foraging trips. Foraging trip characteristics were similar between sexes during incubation, but males tended to forage farther west than females. During chick-rearing, all tracked birds alternated long and short foraging trips. Long trips (20.2 ± 2.3 days) were similar in duration to incubation trips (22.2 ± 5.3 days), but the birds travelled greater distances during chick-rearing (9257 ± 3249 km) than during incubation (6863 ± 2521 km). Some commuting birds sustained speeds &gt; 100 km/h, with one bird covering almost 1000 km in 10 h. During incubation, birds mainly travelled southeast towards the Antarctic Polar Front, whereas chick-rearing birds travelled more widely. Our study provides new information on the distribution of Great Shearwaters while breeding.","author":[{"dropping-particle":"","family":"Schoombie","given":"Stefan","non-dropping-particle":"","parse-names":false,"suffix":""},{"dropping-particle":"","family":"Dilley","given":"Ben J.","non-dropping-particle":"","parse-names":false,"suffix":""},{"dropping-particle":"","family":"Davies","given":"Delia","non-dropping-particle":"","parse-names":false,"suffix":""},{"dropping-particle":"","family":"Ryan","given":"Peter G.","non-dropping-particle":"","parse-names":false,"suffix":""}],"container-title":"Polar Biology","id":"ITEM-1","issue":"12","issued":{"date-parts":[["2018","12","1"]]},"page":"2451-2458","publisher":"Springer Verlag","title":"The foraging range of Great Shearwaters (&lt;i&gt;Ardenna gravis&lt;/i&gt;) breeding on Gough Island","type":"article-journal","volume":"41"},"uris":["http://www.mendeley.com/documents/?uuid=8bdba46b-d0a5-3708-9955-f1c7a754bfd4"]},{"id":"ITEM-2","itemData":{"DOI":"10.1111/ddi.12860","ISSN":"14724642","abstract":"Aim: Climate change is altering marine ecosystems worldwide and is most pronounced in the Arctic. Economic development is increasing leading to more disturbances and pressures on Arctic wildlife. Identifying areas that support higher levels of predator abundance and biodiversity is important for the implementation of targeted conservation measures across the Arctic. Location: Primarily Canadian Arctic marine waters but also parts of the United States, Greenland and Russia. Methods: We compiled the largest data set of existing telemetry data for marine predators in the North American Arctic consisting of 1,283 individuals from 21 species. Data were arranged into four species groups: (a) cetaceans and pinnipeds, (b) polar bears Ursus maritimus (c) seabirds, and (d) fishes to address the following objectives: (a) to identify abundance hotspots for each species group in the summer–autumn and winter–spring; (b) to identify species diversity hotspots across all species groups and extent of overlap with exclusive economic zones; and (c) to perform a gap analysis that assesses amount of overlap between species diversity hotspots with existing protected areas. Results: Abundance and species diversity hotpots during summer–autumn and winter–spring were identified in Baffin Bay, Davis Strait, Hudson Bay, Hudson Strait, Amundsen Gulf, and the Beaufort, Chukchi and Bering seas both within and across species groups. Abundance and species diversity hotpots occurred within the continental slope in summer–autumn and offshore in areas of moving pack ice in winter–spring. Gap analysis revealed that the current level of conservation protection that overlaps species diversity hotspots is low covering only 5% (77,498 km 2 ) in summer–autumn and 7% (83,202 km 2 ) in winter–spring. Main conclusions: We identified several areas of potential importance for Arctic marine predators that could provide policymakers with a starting point for conservation measures given the multitude of threats facing the Arctic. These results are relevant to multilevel and multinational governance to protect this vulnerable ecosystem in our rapidly changing world.","author":[{"dropping-particle":"","family":"Yurkowski","given":"David J.","non-dropping-particle":"","parse-names":false,"suffix":""},{"dropping-particle":"","family":"Auger-Méthé","given":"Marie","non-dropping-particle":"","parse-names":false,"suffix":""},{"dropping-particle":"","family":"Mallory","given":"Mark L.","non-dropping-particle":"","parse-names":false,"suffix":""},{"dropping-particle":"","family":"Wong","given":"Sarah N.P.","non-dropping-particle":"","parse-names":false,"suffix":""},{"dropping-particle":"","family":"Gilchrist","given":"Grant","non-dropping-particle":"","parse-names":false,"suffix":""},{"dropping-particle":"","family":"Derocher","given":"Andrew E.","non-dropping-particle":"","parse-names":false,"suffix":""},{"dropping-particle":"","family":"Richardson","given":"Evan","non-dropping-particle":"","parse-names":false,"suffix":""},{"dropping-particle":"","family":"Lunn","given":"Nicholas J.","non-dropping-particle":"","parse-names":false,"suffix":""},{"dropping-particle":"","family":"Hussey","given":"Nigel E.","non-dropping-particle":"","parse-names":false,"suffix":""},{"dropping-particle":"","family":"Marcoux","given":"Marianne","non-dropping-particle":"","parse-names":false,"suffix":""},{"dropping-particle":"","family":"Togunov","given":"Ron R.","non-dropping-particle":"","parse-names":false,"suffix":""},{"dropping-particle":"","family":"Fisk","given":"Aaron T.","non-dropping-particle":"","parse-names":false,"suffix":""},{"dropping-particle":"","family":"Harwood","given":"Lois A.","non-dropping-particle":"","parse-names":false,"suffix":""},{"dropping-particle":"","family":"Dietz","given":"Rune","non-dropping-particle":"","parse-names":false,"suffix":""},{"dropping-particle":"","family":"Rosing-Asvid","given":"Aqqalu","non-dropping-particle":"","parse-names":false,"suffix":""},{"dropping-particle":"","family":"Born","given":"Erik W.","non-dropping-particle":"","parse-names":false,"suffix":""},{"dropping-particle":"","family":"Mosbech","given":"Anders","non-dropping-particle":"","parse-names":false,"suffix":""},{"dropping-particle":"","family":"Fort","given":"Jérôme","non-dropping-particle":"","parse-names":false,"suffix":""},{"dropping-particle":"","family":"Grémillet","given":"David","non-dropping-particle":"","parse-names":false,"suffix":""},{"dropping-particle":"","family":"Loseto","given":"Lisa","non-dropping-particle":"","parse-names":false,"suffix":""},{"dropping-particle":"","family":"Richard","given":"Pierre R.","non-dropping-particle":"","parse-names":false,"suffix":""},{"dropping-particle":"","family":"Iacozza","given":"John","non-dropping-particle":"","parse-names":false,"suffix":""},{"dropping-particle":"","family":"Jean-Gagnon","given":"Frankie","non-dropping-particle":"","parse-names":false,"suffix":""},{"dropping-particle":"","family":"Brown","given":"Tanya M.","non-dropping-particle":"","parse-names":false,"suffix":""},{"dropping-particle":"","family":"Westdal","given":"Kristin H.","non-dropping-particle":"","parse-names":false,"suffix":""},{"dropping-particle":"","family":"Orr","given":"Jack","non-dropping-particle":"","parse-names":false,"suffix":""},{"dropping-particle":"","family":"LeBlanc","given":"Bernard","non-dropping-particle":"","parse-names":false,"suffix":""},{"dropping-particle":"","family":"Hedges","given":"Kevin J.","non-dropping-particle":"","parse-names":false,"suffix":""},{"dropping-particle":"","family":"Treble","given":"Margaret A.","non-dropping-particle":"","parse-names":false,"suffix":""},{"dropping-particle":"","family":"Kessel","given":"Steven T.","non-dropping-particle":"","parse-names":false,"suffix":""},{"dropping-particle":"","family":"Blanchfield","given":"Paul J.","non-dropping-particle":"","parse-names":false,"suffix":""},{"dropping-particle":"","family":"Davis","given":"Shanti","non-dropping-particle":"","parse-names":false,"suffix":""},{"dropping-particle":"","family":"Maftei","given":"Mark","non-dropping-particle":"","parse-names":false,"suffix":""},{"dropping-particle":"","family":"Spencer","given":"Nora","non-dropping-particle":"","parse-names":false,"suffix":""},{"dropping-particle":"","family":"McFarlane-Tranquilla","given":"Laura","non-dropping-particle":"","parse-names":false,"suffix":""},{"dropping-particle":"","family":"Montevecchi","given":"William A.","non-dropping-particle":"","parse-names":false,"suffix":""},{"dropping-particle":"","family":"Bartzen","given":"Blake","non-dropping-particle":"","parse-names":false,"suffix":""},{"dropping-particle":"","family":"Dickson","given":"Lynne","non-dropping-particle":"","parse-names":false,"suffix":""},{"dropping-particle":"","family":"Anderson","given":"Christine","non-dropping-particle":"","parse-names":false,"suffix":""},{"dropping-particle":"","family":"Ferguson","given":"Steven H.","non-dropping-particle":"","parse-names":false,"suffix":""}],"container-title":"Diversity and Distributions","id":"ITEM-2","issue":"3","issued":{"date-parts":[["2019"]]},"page":"328-345","title":"Abundance and species diversity hotspots of tracked marine predators across the North American Arctic","type":"article-journal","volume":"25"},"uris":["http://www.mendeley.com/documents/?uuid=a097eb6d-d7cb-48bc-ba84-ad69a4ae5a71"]}],"mendeley":{"formattedCitation":"(Schoombie &lt;i&gt;et al.&lt;/i&gt;, 2018; Yurkowski &lt;i&gt;et al.&lt;/i&gt;, 2019)","plainTextFormattedCitation":"(Schoombie et al., 2018; Yurkowski et al., 2019)","previouslyFormattedCitation":"(Schoombie &lt;i&gt;et al.&lt;/i&gt;, 2018; Yurkowski &lt;i&gt;et al.&lt;/i&gt;, 2019)"},"properties":{"noteIndex":0},"schema":"https://github.com/citation-style-language/schema/raw/master/csl-citation.json"}</w:instrText>
      </w:r>
      <w:r w:rsidR="00416840" w:rsidRPr="00A34CD9">
        <w:rPr>
          <w:rFonts w:cstheme="minorHAnsi"/>
          <w:lang w:val="en-GB"/>
        </w:rPr>
        <w:fldChar w:fldCharType="separate"/>
      </w:r>
      <w:r w:rsidR="00416840" w:rsidRPr="00A34CD9">
        <w:rPr>
          <w:rFonts w:cstheme="minorHAnsi"/>
          <w:noProof/>
          <w:lang w:val="en-GB"/>
        </w:rPr>
        <w:t xml:space="preserve">(Schoombie </w:t>
      </w:r>
      <w:r w:rsidR="00416840" w:rsidRPr="00A34CD9">
        <w:rPr>
          <w:rFonts w:cstheme="minorHAnsi"/>
          <w:i/>
          <w:noProof/>
          <w:lang w:val="en-GB"/>
        </w:rPr>
        <w:t>et al.</w:t>
      </w:r>
      <w:r w:rsidR="00416840" w:rsidRPr="00A34CD9">
        <w:rPr>
          <w:rFonts w:cstheme="minorHAnsi"/>
          <w:noProof/>
          <w:lang w:val="en-GB"/>
        </w:rPr>
        <w:t xml:space="preserve">, 2018; Yurkowski </w:t>
      </w:r>
      <w:r w:rsidR="00416840" w:rsidRPr="00A34CD9">
        <w:rPr>
          <w:rFonts w:cstheme="minorHAnsi"/>
          <w:i/>
          <w:noProof/>
          <w:lang w:val="en-GB"/>
        </w:rPr>
        <w:t>et al.</w:t>
      </w:r>
      <w:r w:rsidR="00416840" w:rsidRPr="00A34CD9">
        <w:rPr>
          <w:rFonts w:cstheme="minorHAnsi"/>
          <w:noProof/>
          <w:lang w:val="en-GB"/>
        </w:rPr>
        <w:t>, 2019)</w:t>
      </w:r>
      <w:r w:rsidR="00416840" w:rsidRPr="00A34CD9">
        <w:rPr>
          <w:rFonts w:cstheme="minorHAnsi"/>
          <w:lang w:val="en-GB"/>
        </w:rPr>
        <w:fldChar w:fldCharType="end"/>
      </w:r>
      <w:r w:rsidR="00416840" w:rsidRPr="00A34CD9">
        <w:rPr>
          <w:rFonts w:cstheme="minorHAnsi"/>
          <w:lang w:val="en-GB"/>
        </w:rPr>
        <w:t xml:space="preserve"> </w:t>
      </w:r>
      <w:r w:rsidR="00F67D31" w:rsidRPr="00A34CD9">
        <w:rPr>
          <w:rFonts w:cstheme="minorHAnsi"/>
          <w:lang w:val="en-GB"/>
        </w:rPr>
        <w:t xml:space="preserve">coinciding with high fishing activity zones </w:t>
      </w:r>
      <w:r w:rsidR="00416840" w:rsidRPr="00A34CD9">
        <w:rPr>
          <w:rFonts w:cstheme="minorHAnsi"/>
          <w:lang w:val="en-GB"/>
        </w:rPr>
        <w:fldChar w:fldCharType="begin" w:fldLock="1"/>
      </w:r>
      <w:r w:rsidR="00D6404A" w:rsidRPr="00A34CD9">
        <w:rPr>
          <w:rFonts w:cstheme="minorHAnsi"/>
          <w:lang w:val="en-GB"/>
        </w:rPr>
        <w:instrText>ADDIN CSL_CITATION {"citationItems":[{"id":"ITEM-1","itemData":{"DOI":"10.1371/journal.pone.0220797","ISSN":"19326203","PMID":"31381613","abstract":"Not much is known about the fleet level total seabird bycatch from pelagic longlines of United States vessels in the western North Atlantic or other fleets of the Atlantic or other oceans. Onboard observers generally only record seabird bycatch during line hauling. Seabirds are predominantly caught during the line setting stage, and, due to predation or mechanical action, those caught prior to the haul can drop off the hook and be lost to the onboard observer. We developed a model to gauge the size of this bycatch loss problem and provide a first approximation of its impact on estimates of total fleet bycatch. We started with a traditional loss-free bycatch model, which assumes that birds recorded were the only birds captured, and integrated into it two crucial components of the bycatch process: capture origin (set or haul) and bycatch loss of set-captures. We extracted count data on seabird bycatch loss and bycatch mortality from the literature on other longline fisheries and used these data to simulate potential total seabird bycatch in the western North Atlantic. Simulations revealed the shortcomings of both the traditional bycatch model and the current haul-only observer protocol, each of which contributed to biologically significant underestimation of total bycatch and estimation uncertainty. Based on our results, we recommend a loss-corrected modeling approach to provide a more accurate estimate of seabird mortalities in pelagic longline fisheries. Where possible, fishery-specific seabird bycatch loss rates need to be ascertained via specific set and haul observing protocols. But, even where fishery-specific estimates for a region are not available, the methodology developed here is applicable to other pelagic longline fisheries to approximate fleet-level loss-corrected bycatch.","author":[{"dropping-particle":"","family":"Zhou","given":"Can","non-dropping-particle":"","parse-names":false,"suffix":""},{"dropping-particle":"","family":"Jiao","given":"Yan","non-dropping-particle":"","parse-names":false,"suffix":""},{"dropping-particle":"","family":"Browder","given":"Joan","non-dropping-particle":"","parse-names":false,"suffix":""}],"container-title":"PLoS ONE","id":"ITEM-1","issue":"8","issued":{"date-parts":[["2019"]]},"page":"e0220797","title":"How much do we know about seabird bycatch in pelagic longline fisheries? A simulation study on the potential bias caused by the usually unobserved portion of seabird bycatch","type":"article-journal","volume":"14"},"uris":["http://www.mendeley.com/documents/?uuid=106d0b9b-dbb9-3fe2-be98-c2bfa5630d4e"]}],"mendeley":{"formattedCitation":"(Zhou &lt;i&gt;et al.&lt;/i&gt;, 2019)","plainTextFormattedCitation":"(Zhou et al., 2019)","previouslyFormattedCitation":"(Zhou &lt;i&gt;et al.&lt;/i&gt;, 2019)"},"properties":{"noteIndex":0},"schema":"https://github.com/citation-style-language/schema/raw/master/csl-citation.json"}</w:instrText>
      </w:r>
      <w:r w:rsidR="00416840" w:rsidRPr="00A34CD9">
        <w:rPr>
          <w:rFonts w:cstheme="minorHAnsi"/>
          <w:lang w:val="en-GB"/>
        </w:rPr>
        <w:fldChar w:fldCharType="separate"/>
      </w:r>
      <w:r w:rsidR="00585321" w:rsidRPr="00A34CD9">
        <w:rPr>
          <w:rFonts w:cstheme="minorHAnsi"/>
          <w:noProof/>
          <w:lang w:val="en-GB"/>
        </w:rPr>
        <w:t xml:space="preserve">(Zhou </w:t>
      </w:r>
      <w:r w:rsidR="00585321" w:rsidRPr="00A34CD9">
        <w:rPr>
          <w:rFonts w:cstheme="minorHAnsi"/>
          <w:i/>
          <w:noProof/>
          <w:lang w:val="en-GB"/>
        </w:rPr>
        <w:t>et al.</w:t>
      </w:r>
      <w:r w:rsidR="00585321" w:rsidRPr="00A34CD9">
        <w:rPr>
          <w:rFonts w:cstheme="minorHAnsi"/>
          <w:noProof/>
          <w:lang w:val="en-GB"/>
        </w:rPr>
        <w:t>, 2019)</w:t>
      </w:r>
      <w:r w:rsidR="00416840" w:rsidRPr="00A34CD9">
        <w:rPr>
          <w:rFonts w:cstheme="minorHAnsi"/>
          <w:lang w:val="en-GB"/>
        </w:rPr>
        <w:fldChar w:fldCharType="end"/>
      </w:r>
      <w:r w:rsidR="00416840" w:rsidRPr="00A34CD9">
        <w:rPr>
          <w:rFonts w:cstheme="minorHAnsi"/>
          <w:lang w:val="en-GB"/>
        </w:rPr>
        <w:t>.</w:t>
      </w:r>
    </w:p>
    <w:p w14:paraId="7188C0CA" w14:textId="76F0926F" w:rsidR="00933533" w:rsidRPr="00A34CD9" w:rsidRDefault="00933533" w:rsidP="002A528E">
      <w:pPr>
        <w:suppressLineNumbers/>
        <w:spacing w:line="480" w:lineRule="auto"/>
        <w:jc w:val="both"/>
        <w:rPr>
          <w:rFonts w:cstheme="minorHAnsi"/>
          <w:lang w:val="en-GB"/>
        </w:rPr>
      </w:pPr>
      <w:bookmarkStart w:id="7" w:name="_Hlk98935111"/>
      <w:r w:rsidRPr="00A34CD9">
        <w:rPr>
          <w:rFonts w:cstheme="minorHAnsi"/>
          <w:lang w:val="en-GB"/>
        </w:rPr>
        <w:t xml:space="preserve">Bycatch assessment and mitigation has </w:t>
      </w:r>
      <w:r w:rsidR="00E0564D" w:rsidRPr="00A34CD9">
        <w:rPr>
          <w:rFonts w:cstheme="minorHAnsi"/>
          <w:lang w:val="en-GB"/>
        </w:rPr>
        <w:t xml:space="preserve">mainly </w:t>
      </w:r>
      <w:r w:rsidRPr="00A34CD9">
        <w:rPr>
          <w:rFonts w:cstheme="minorHAnsi"/>
          <w:lang w:val="en-GB"/>
        </w:rPr>
        <w:t>focused on industrial fisheries, overlooking the impact of artisanal fisheries due to the</w:t>
      </w:r>
      <w:r w:rsidR="002501E3" w:rsidRPr="00A34CD9">
        <w:rPr>
          <w:rFonts w:cstheme="minorHAnsi"/>
          <w:lang w:val="en-GB"/>
        </w:rPr>
        <w:t xml:space="preserve"> </w:t>
      </w:r>
      <w:r w:rsidRPr="00A34CD9">
        <w:rPr>
          <w:rFonts w:cstheme="minorHAnsi"/>
          <w:lang w:val="en-GB"/>
        </w:rPr>
        <w:t xml:space="preserve">scale of industrial operations </w:t>
      </w:r>
      <w:r w:rsidR="002501E3" w:rsidRPr="00A34CD9">
        <w:rPr>
          <w:rFonts w:cstheme="minorHAnsi"/>
          <w:lang w:val="en-GB"/>
        </w:rPr>
        <w:t xml:space="preserve">(leading to </w:t>
      </w:r>
      <w:r w:rsidRPr="00A34CD9">
        <w:rPr>
          <w:rFonts w:cstheme="minorHAnsi"/>
          <w:lang w:val="en-GB"/>
        </w:rPr>
        <w:t>high</w:t>
      </w:r>
      <w:r w:rsidR="002501E3" w:rsidRPr="00A34CD9">
        <w:rPr>
          <w:rFonts w:cstheme="minorHAnsi"/>
          <w:lang w:val="en-GB"/>
        </w:rPr>
        <w:t>er</w:t>
      </w:r>
      <w:r w:rsidRPr="00A34CD9">
        <w:rPr>
          <w:rFonts w:cstheme="minorHAnsi"/>
          <w:lang w:val="en-GB"/>
        </w:rPr>
        <w:t xml:space="preserve"> level of bycatch</w:t>
      </w:r>
      <w:r w:rsidR="00A31980" w:rsidRPr="00A34CD9">
        <w:rPr>
          <w:rFonts w:cstheme="minorHAnsi"/>
          <w:lang w:val="en-GB"/>
        </w:rPr>
        <w:t>)</w:t>
      </w:r>
      <w:r w:rsidRPr="00A34CD9">
        <w:rPr>
          <w:rFonts w:cstheme="minorHAnsi"/>
          <w:lang w:val="en-GB"/>
        </w:rPr>
        <w:t xml:space="preserve">, </w:t>
      </w:r>
      <w:r w:rsidR="008E269F" w:rsidRPr="00A34CD9">
        <w:rPr>
          <w:rFonts w:cstheme="minorHAnsi"/>
          <w:lang w:val="en-GB"/>
        </w:rPr>
        <w:t xml:space="preserve">the relative wealth of data </w:t>
      </w:r>
      <w:r w:rsidRPr="00A34CD9">
        <w:rPr>
          <w:rFonts w:cstheme="minorHAnsi"/>
          <w:lang w:val="en-GB"/>
        </w:rPr>
        <w:t>and</w:t>
      </w:r>
      <w:r w:rsidR="000D254A" w:rsidRPr="00A34CD9">
        <w:rPr>
          <w:rFonts w:cstheme="minorHAnsi"/>
          <w:lang w:val="en-GB"/>
        </w:rPr>
        <w:t xml:space="preserve"> the general consideration </w:t>
      </w:r>
      <w:r w:rsidRPr="00A34CD9">
        <w:rPr>
          <w:rFonts w:cstheme="minorHAnsi"/>
          <w:lang w:val="en-GB"/>
        </w:rPr>
        <w:t xml:space="preserve">that artisanal fisheries are inherently more sustainable than industrial fisheries </w:t>
      </w:r>
      <w:bookmarkStart w:id="8" w:name="_Hlk98935236"/>
      <w:r w:rsidRPr="00A34CD9">
        <w:rPr>
          <w:rFonts w:cstheme="minorHAnsi"/>
          <w:lang w:val="en-GB"/>
        </w:rPr>
        <w:fldChar w:fldCharType="begin" w:fldLock="1"/>
      </w:r>
      <w:r w:rsidR="00890DFB" w:rsidRPr="00A34CD9">
        <w:rPr>
          <w:rFonts w:cstheme="minorHAnsi"/>
          <w:lang w:val="en-GB"/>
        </w:rPr>
        <w:instrText>ADDIN CSL_CITATION {"citationItems":[{"id":"ITEM-1","itemData":{"DOI":"10.1007/s11160-012-9269-3","ISBN":"1116001292","ISSN":"09603166","abstract":"Over the last few decades, much effort has been devoted towards quantifying and reducing bycatch in marine fisheries. Of late, there has been a particular focus on sharks given that bycatch is a frequently listed threat for sharks on the International Union for the Conservation of Nature Red List. However, currently there are no quantitative reviews or syntheses that explore the issue of shark bycatch globally which is problematic given that such a synthesis could inform conservation actions and identify pressing research gaps. We performed a qualitative and quantitative survey of the peer-reviewed literature to characterize trends in shark bycatch research with a particular goal of identifying research needs and opportunities. Using a structured literature review we identified 103 papers that met our search criteria, with the first one published in 1993. Early research efforts focused on documenting the scope of bycatch (i. e., determining that sharks were indeed captured as bycatch), but more recently there have been increased efforts devoted to developing and evaluating bycatch reduction strategies for sharks. Research activity was most common in the North Atlantic (~40 % of the total articles analysed) with comparatively less research in other areas such as the Indo-Pacific region where shark bycatch is regarded as particularly common and problematic. Most studies were observational with comparatively fewer experimental and modeling studies, and even fewer that combined research approaches. Gear modifications (e. g., hook size and type for long lines, net size and mesh design for nets) were the most commonly evaluated strategy for reducing shark bycatch; however, development and use of techniques like repellents, or seasonal area closures, or a combination of strategies, offer interesting possibilities that require further study. In addition, although many sharks are discarded, little is known about post-release survival or sub-lethal consequences of fisheries interactions, or evaluations of different fish handling strategies, making it difficult to quantify the true cost of bycatch or to recommend handling strategies to fishers. Although there are some inherent challenges with developing and testing shark bycatch reduction strategies, there is an urgent need to do so and this would be best achieved through interdisciplinary research that spans field, laboratory, and modeling realms. © 2012 Springer Science+Business Media B.V.","author":[{"dropping-particle":"","family":"Molina","given":"Juan M.","non-dropping-particle":"","parse-names":false,"suffix":""},{"dropping-particle":"","family":"Cooke","given":"Steven J.","non-dropping-particle":"","parse-names":false,"suffix":""}],"container-title":"Reviews in Fish Biology and Fisheries","id":"ITEM-1","issue":"3","issued":{"date-parts":[["2012"]]},"page":"719-737","title":"Trends in shark bycatch research: Current status and research needs","type":"article-journal","volume":"22"},"uris":["http://www.mendeley.com/documents/?uuid=f7d49a27-1fe9-4ccf-bf40-20af4180a545"]},{"id":"ITEM-2","itemData":{"DOI":"10.1007/s11160-017-9494-x","ISSN":"15735184","abstract":"In developing regions, coastal communities are particularly dependent on small-scale fisheries for food security and income. However, information on the scale and impacts of small-scale fisheries on coastal marine ecosystems are frequently lacking. Large marine vertebrates (marine mammals, sea turtles and chondrichthyans) are often among the first species to experience declines due to fisheries. This paper reviews the interactions between small-scale fisheries and vulnerable marine megafauna in the southwestern Indian Ocean. We highlight an urgent need for proper documentation, monitoring and assessment at the regional level of small-scale fisheries and the megafauna affected by them to inform evidence-based fisheries management. Catch and landings data are generally of poor quality and resolution with compositional data, where available, mostly anecdotal or heavily biased towards easily identifiable species. There is also limited understanding of fisheries effort, most of which relies on metrics unsuitable for proper assessment. Management strategies (where they exist) are often created without strong evidence bases or understanding of the reliance of fishers on resources. Consequently, it is not possible to effectively assess the current status and ensure the sustainability of these species groups; with indications of overexploitation in several areas. To address these issues, a regionally collaborative approach between government and non-governmental organisations, independent researchers and institutions, and small-scale fisheries stakeholders is required. In combination with good governance practices, appropriate and effective, evidence-based management can be formulated to sustain these resources, the marine ecosystems they are intrinsically linked to and the livelihoods of coastal communities that are tied to them.","author":[{"dropping-particle":"","family":"Temple","given":"Andrew J.","non-dropping-particle":"","parse-names":false,"suffix":""},{"dropping-particle":"","family":"Kiszka","given":"Jeremy J.","non-dropping-particle":"","parse-names":false,"suffix":""},{"dropping-particle":"","family":"Stead","given":"Selina M.","non-dropping-particle":"","parse-names":false,"suffix":""},{"dropping-particle":"","family":"Wambiji","given":"Nina","non-dropping-particle":"","parse-names":false,"suffix":""},{"dropping-particle":"","family":"Brito","given":"Atanásio","non-dropping-particle":"","parse-names":false,"suffix":""},{"dropping-particle":"","family":"Poonian","given":"Christopher N.S.","non-dropping-particle":"","parse-names":false,"suffix":""},{"dropping-particle":"","family":"Amir","given":"Omar A.","non-dropping-particle":"","parse-names":false,"suffix":""},{"dropping-particle":"","family":"Jiddawi","given":"Narriman","non-dropping-particle":"","parse-names":false,"suffix":""},{"dropping-particle":"","family":"Fennessy","given":"Sean T.","non-dropping-particle":"","parse-names":false,"suffix":""},{"dropping-particle":"","family":"Pérez-Jorge","given":"Sergi","non-dropping-particle":"","parse-names":false,"suffix":""},{"dropping-particle":"","family":"Berggren","given":"Per","non-dropping-particle":"","parse-names":false,"suffix":""}],"container-title":"Reviews in Fish Biology and Fisheries","id":"ITEM-2","issue":"1","issued":{"date-parts":[["2018"]]},"page":"89-115","title":"Marine megafauna interactions with small-scale fisheries in the southwestern Indian Ocean: a review of status and challenges for research and management","type":"article-journal","volume":"28"},"uris":["http://www.mendeley.com/documents/?uuid=cab533f3-3102-43dc-998f-f6d4d2dcb546"]}],"mendeley":{"formattedCitation":"(Molina and Cooke, 2012; Temple &lt;i&gt;et al.&lt;/i&gt;, 2018)","plainTextFormattedCitation":"(Molina and Cooke, 2012; Temple et al., 2018)","previouslyFormattedCitation":"(Molina and Cooke, 2012; Temple &lt;i&gt;et al.&lt;/i&gt;, 2018)"},"properties":{"noteIndex":0},"schema":"https://github.com/citation-style-language/schema/raw/master/csl-citation.json"}</w:instrText>
      </w:r>
      <w:r w:rsidRPr="00A34CD9">
        <w:rPr>
          <w:rFonts w:cstheme="minorHAnsi"/>
          <w:lang w:val="en-GB"/>
        </w:rPr>
        <w:fldChar w:fldCharType="separate"/>
      </w:r>
      <w:r w:rsidR="008E269F" w:rsidRPr="00A34CD9">
        <w:rPr>
          <w:rFonts w:cstheme="minorHAnsi"/>
          <w:noProof/>
          <w:lang w:val="en-GB"/>
        </w:rPr>
        <w:t xml:space="preserve">(Molina and Cooke, 2012; Temple </w:t>
      </w:r>
      <w:r w:rsidR="008E269F" w:rsidRPr="00A34CD9">
        <w:rPr>
          <w:rFonts w:cstheme="minorHAnsi"/>
          <w:i/>
          <w:noProof/>
          <w:lang w:val="en-GB"/>
        </w:rPr>
        <w:t>et al.</w:t>
      </w:r>
      <w:r w:rsidR="008E269F" w:rsidRPr="00A34CD9">
        <w:rPr>
          <w:rFonts w:cstheme="minorHAnsi"/>
          <w:noProof/>
          <w:lang w:val="en-GB"/>
        </w:rPr>
        <w:t>, 2018)</w:t>
      </w:r>
      <w:r w:rsidRPr="00A34CD9">
        <w:rPr>
          <w:rFonts w:cstheme="minorHAnsi"/>
          <w:lang w:val="en-GB"/>
        </w:rPr>
        <w:fldChar w:fldCharType="end"/>
      </w:r>
      <w:bookmarkEnd w:id="7"/>
      <w:bookmarkEnd w:id="8"/>
      <w:r w:rsidRPr="00A34CD9">
        <w:rPr>
          <w:rFonts w:cstheme="minorHAnsi"/>
          <w:lang w:val="en-GB"/>
        </w:rPr>
        <w:t xml:space="preserve">. </w:t>
      </w:r>
      <w:bookmarkStart w:id="9" w:name="_Hlk99006436"/>
      <w:bookmarkStart w:id="10" w:name="_Hlk99005403"/>
      <w:r w:rsidRPr="00A34CD9">
        <w:rPr>
          <w:rFonts w:cstheme="minorHAnsi"/>
          <w:lang w:val="en-GB"/>
        </w:rPr>
        <w:t>However,</w:t>
      </w:r>
      <w:r w:rsidR="0046498B" w:rsidRPr="00A34CD9">
        <w:rPr>
          <w:rFonts w:cstheme="minorHAnsi"/>
          <w:lang w:val="en-GB"/>
        </w:rPr>
        <w:t xml:space="preserve"> artisanal fisheries</w:t>
      </w:r>
      <w:r w:rsidR="008D7C9E" w:rsidRPr="00A34CD9">
        <w:rPr>
          <w:rFonts w:cstheme="minorHAnsi"/>
          <w:lang w:val="en-GB"/>
        </w:rPr>
        <w:t xml:space="preserve"> which compose a large majority of the world’s </w:t>
      </w:r>
      <w:r w:rsidR="00E86C12" w:rsidRPr="00A34CD9">
        <w:rPr>
          <w:rFonts w:cstheme="minorHAnsi"/>
          <w:lang w:val="en-GB"/>
        </w:rPr>
        <w:t>fleets</w:t>
      </w:r>
      <w:r w:rsidR="008D7C9E" w:rsidRPr="00A34CD9">
        <w:rPr>
          <w:rFonts w:cstheme="minorHAnsi"/>
          <w:lang w:val="en-GB"/>
        </w:rPr>
        <w:t xml:space="preserve"> </w:t>
      </w:r>
      <w:r w:rsidR="008D7C9E" w:rsidRPr="00A34CD9">
        <w:rPr>
          <w:rFonts w:cstheme="minorHAnsi"/>
          <w:lang w:val="en-GB"/>
        </w:rPr>
        <w:fldChar w:fldCharType="begin" w:fldLock="1"/>
      </w:r>
      <w:r w:rsidR="00984A00" w:rsidRPr="00A34CD9">
        <w:rPr>
          <w:rFonts w:cstheme="minorHAnsi"/>
          <w:lang w:val="en-GB"/>
        </w:rPr>
        <w:instrText>ADDIN CSL_CITATION {"citationItems":[{"id":"ITEM-1","itemData":{"abstract":"The competition between large, industrial, and small-scale fisheries in the face of growing resource scarcity has led, in most parts of the world, to in- creased marginalisation of small-scale fisheries. However, the natural role of social scientists, who, given their expertise, should be informing mitigating ac- tivities, is often usurped by biologists and/or economists, as demonstrated here through a Google-based analysis. It is argued that this is based on social scien- tists: (1) neglecting in their field work key variables, such as catch levels, impor- tant to any understanding of fisheries; and (2) often conducting and reporting on locale-specific field work without attempting broader (and admittedly risky) gen- eralisations -- the elements of a ‘model’ -- that are imperative for actual policy making. The former claim is illustrated with an example from the South Pacific, and it is shown that one result of current practices is the further marginalisation of small-scale fishers. The latter claim is illustrated with an example of a general model, which contextualises and thus explains a wide variety of phenomena re- lated to migration within and into the small-scale fishing sector. An application of this ‘Malthusian overfishing model’ to the rebuilding efforts following the Asian tsunami of December 2004 is then presented. Finally, the case is made that de- spite their present problems, the small-scale fisheries of the world, suitably gov- erned, are still our best hope for sustainable utilisation of coastal resources.","author":[{"dropping-particle":"","family":"Pauly","given":"Daniel","non-dropping-particle":"","parse-names":false,"suffix":""}],"container-title":"Maritime Studies","id":"ITEM-1","issued":{"date-parts":[["2006"]]},"page":"7-22","title":"Major Trends in Small-Scale Marine Fisheries, with Emphasis on Developing Countries, and Some Implication fro Social Sciences","type":"article-journal","volume":"4"},"uris":["http://www.mendeley.com/documents/?uuid=f95e2261-1d43-44c4-b794-99cf2dd706ac"]}],"mendeley":{"formattedCitation":"(Pauly, 2006)","plainTextFormattedCitation":"(Pauly, 2006)","previouslyFormattedCitation":"(Pauly, 2006)"},"properties":{"noteIndex":0},"schema":"https://github.com/citation-style-language/schema/raw/master/csl-citation.json"}</w:instrText>
      </w:r>
      <w:r w:rsidR="008D7C9E" w:rsidRPr="00A34CD9">
        <w:rPr>
          <w:rFonts w:cstheme="minorHAnsi"/>
          <w:lang w:val="en-GB"/>
        </w:rPr>
        <w:fldChar w:fldCharType="separate"/>
      </w:r>
      <w:r w:rsidR="008D7C9E" w:rsidRPr="00A34CD9">
        <w:rPr>
          <w:rFonts w:cstheme="minorHAnsi"/>
          <w:noProof/>
          <w:lang w:val="en-GB"/>
        </w:rPr>
        <w:t>(Pauly, 2006)</w:t>
      </w:r>
      <w:r w:rsidR="008D7C9E" w:rsidRPr="00A34CD9">
        <w:rPr>
          <w:rFonts w:cstheme="minorHAnsi"/>
          <w:lang w:val="en-GB"/>
        </w:rPr>
        <w:fldChar w:fldCharType="end"/>
      </w:r>
      <w:r w:rsidR="00725AC3" w:rsidRPr="00A34CD9">
        <w:rPr>
          <w:rFonts w:cstheme="minorHAnsi"/>
          <w:lang w:val="en-GB"/>
        </w:rPr>
        <w:t xml:space="preserve">, tend to operate in regions featuring high productivity </w:t>
      </w:r>
      <w:r w:rsidR="00E86C12" w:rsidRPr="00A34CD9">
        <w:rPr>
          <w:rFonts w:cstheme="minorHAnsi"/>
          <w:lang w:val="en-GB"/>
        </w:rPr>
        <w:t xml:space="preserve">and </w:t>
      </w:r>
      <w:r w:rsidR="000636AD" w:rsidRPr="00A34CD9">
        <w:rPr>
          <w:rFonts w:cstheme="minorHAnsi"/>
          <w:lang w:val="en-GB"/>
        </w:rPr>
        <w:t>overlap</w:t>
      </w:r>
      <w:r w:rsidR="004D6033" w:rsidRPr="00A34CD9">
        <w:rPr>
          <w:rFonts w:cstheme="minorHAnsi"/>
          <w:lang w:val="en-GB"/>
        </w:rPr>
        <w:t>ping</w:t>
      </w:r>
      <w:r w:rsidR="000636AD" w:rsidRPr="00A34CD9">
        <w:rPr>
          <w:rFonts w:cstheme="minorHAnsi"/>
          <w:lang w:val="en-GB"/>
        </w:rPr>
        <w:t xml:space="preserve"> </w:t>
      </w:r>
      <w:r w:rsidRPr="00A34CD9">
        <w:rPr>
          <w:rFonts w:cstheme="minorHAnsi"/>
          <w:lang w:val="en-GB"/>
        </w:rPr>
        <w:t>with megafauna high</w:t>
      </w:r>
      <w:r w:rsidR="000C3344" w:rsidRPr="00A34CD9">
        <w:rPr>
          <w:rFonts w:cstheme="minorHAnsi"/>
          <w:lang w:val="en-GB"/>
        </w:rPr>
        <w:t>-</w:t>
      </w:r>
      <w:r w:rsidRPr="00A34CD9">
        <w:rPr>
          <w:rFonts w:cstheme="minorHAnsi"/>
          <w:lang w:val="en-GB"/>
        </w:rPr>
        <w:t>use areas</w:t>
      </w:r>
      <w:r w:rsidR="000229DB" w:rsidRPr="00A34CD9">
        <w:rPr>
          <w:rFonts w:cstheme="minorHAnsi"/>
          <w:lang w:val="en-GB"/>
        </w:rPr>
        <w:t xml:space="preserve">. </w:t>
      </w:r>
      <w:bookmarkStart w:id="11" w:name="_Hlk102127315"/>
      <w:r w:rsidR="00A25982" w:rsidRPr="00A34CD9">
        <w:rPr>
          <w:rFonts w:cstheme="minorHAnsi"/>
          <w:lang w:val="en-GB"/>
        </w:rPr>
        <w:t xml:space="preserve">While </w:t>
      </w:r>
      <w:r w:rsidR="004D6033" w:rsidRPr="00A34CD9">
        <w:rPr>
          <w:rFonts w:cstheme="minorHAnsi"/>
          <w:lang w:val="en-GB"/>
        </w:rPr>
        <w:t xml:space="preserve">overall </w:t>
      </w:r>
      <w:r w:rsidRPr="00A34CD9">
        <w:rPr>
          <w:rFonts w:cstheme="minorHAnsi"/>
          <w:lang w:val="en-GB"/>
        </w:rPr>
        <w:t>ecological impact</w:t>
      </w:r>
      <w:r w:rsidR="006F7AF6" w:rsidRPr="00A34CD9">
        <w:rPr>
          <w:rFonts w:cstheme="minorHAnsi"/>
          <w:lang w:val="en-GB"/>
        </w:rPr>
        <w:t xml:space="preserve"> of artisanal fish</w:t>
      </w:r>
      <w:r w:rsidR="00D70814" w:rsidRPr="00A34CD9">
        <w:rPr>
          <w:rFonts w:cstheme="minorHAnsi"/>
          <w:lang w:val="en-GB"/>
        </w:rPr>
        <w:t>ing</w:t>
      </w:r>
      <w:r w:rsidR="006F7AF6" w:rsidRPr="00A34CD9">
        <w:rPr>
          <w:rFonts w:cstheme="minorHAnsi"/>
          <w:lang w:val="en-GB"/>
        </w:rPr>
        <w:t xml:space="preserve"> </w:t>
      </w:r>
      <w:r w:rsidR="00A25982" w:rsidRPr="00A34CD9">
        <w:rPr>
          <w:rFonts w:cstheme="minorHAnsi"/>
          <w:lang w:val="en-GB"/>
        </w:rPr>
        <w:t xml:space="preserve">might </w:t>
      </w:r>
      <w:r w:rsidRPr="00A34CD9">
        <w:rPr>
          <w:rFonts w:cstheme="minorHAnsi"/>
          <w:lang w:val="en-GB"/>
        </w:rPr>
        <w:t xml:space="preserve">have </w:t>
      </w:r>
      <w:r w:rsidR="006F7AF6" w:rsidRPr="00A34CD9">
        <w:rPr>
          <w:rFonts w:cstheme="minorHAnsi"/>
          <w:lang w:val="en-GB"/>
        </w:rPr>
        <w:t xml:space="preserve">similar </w:t>
      </w:r>
      <w:r w:rsidRPr="00A34CD9">
        <w:rPr>
          <w:rFonts w:cstheme="minorHAnsi"/>
          <w:lang w:val="en-GB"/>
        </w:rPr>
        <w:t xml:space="preserve">effects to those of industrial fishing </w:t>
      </w:r>
      <w:bookmarkStart w:id="12" w:name="_Hlk99007440"/>
      <w:r w:rsidRPr="00A34CD9">
        <w:rPr>
          <w:rFonts w:cstheme="minorHAnsi"/>
          <w:lang w:val="en-GB"/>
        </w:rPr>
        <w:fldChar w:fldCharType="begin" w:fldLock="1"/>
      </w:r>
      <w:r w:rsidR="00FF6AB0" w:rsidRPr="00A34CD9">
        <w:rPr>
          <w:rFonts w:cstheme="minorHAnsi"/>
          <w:lang w:val="en-GB"/>
        </w:rPr>
        <w:instrText>ADDIN CSL_CITATION {"citationItems":[{"id":"ITEM-1","itemData":{"DOI":"10.1371/journal.pone.0001041","ISSN":"19326203","PMID":"17940605","abstract":"Background. Although bycatch of industrial-scale fisheries can cause declines in migratory megafauna including seabirds, marine mammals, and sea turtles, the impacts of small-scale fisheries have been largely overlooked. Small-scale fisheries occur in coastal waters worldwide, employing over 99% of the world's 51 million fishers. New telemetry data reveal that migratory megafauna frequent coastal habitats well within the range of small-scale fisheries, potentially producing high bycatch. These fisheries occur primarily in developing nations, and their documentation and management are limited or non-existent, precluding evaluation of their impacts on non-target megafauna. Principal Findings/Methodology. 30 North Pacific loggerhead turtles that we satellite-tracked from 1996-2005 ranged oceanwide, but juveniles spent 70% of their time at a high use area coincident with small-scale fisheries in Baja California Sur, Mexico (BCS). We assessed loggerhead bycatch mortality in this area by partnering with local fishers to 1) observe two small-scale fleets that operated closest to the high use area and 2) through shoreline surveys for discarded carcasses. Minimum annual bycatch mortality in just these two fleets at the high use area exceeded 1000 loggerheads year-1, rivaling that of oceanwide industrial-scale fisheries, and threatening the persistence of this critically endangered population. As a result of fisher participation in this study and a bycatch awareness campaign, a consortium of local fishers and other citizens are working to eliminate their bycatch and to establish a national loggerhead refuge. Conclusions/Significance. Because of the overlap of ubiquitous small-scale fisheries with newly documented high-use areas in coastal waters worldwide, our case study suggests that small-scale fisheries may be among the greatest current threats to non-target megafauna. Future research is urgently needed to quantify small-scale fisheries bycatch worldwide. Localizing coastal high use areas and mitigating bycatch in partnership with small-scale fishers may provide a crucial solution toward ensuring the persistence of vulnerable megafauna. © 2007 Peckham et al.","author":[{"dropping-particle":"","family":"Peckham","given":"S. Hoyt","non-dropping-particle":"","parse-names":false,"suffix":""},{"dropping-particle":"","family":"Maldonado Diaz","given":"David","non-dropping-particle":"","parse-names":false,"suffix":""},{"dropping-particle":"","family":"Walli","given":"Andreas","non-dropping-particle":"","parse-names":false,"suffix":""},{"dropping-particle":"","family":"Ruiz","given":"Georgita","non-dropping-particle":"","parse-names":false,"suffix":""},{"dropping-particle":"","family":"Crowder","given":"Larry B.","non-dropping-particle":"","parse-names":false,"suffix":""},{"dropping-particle":"","family":"Nichols","given":"Wallace J.","non-dropping-particle":"","parse-names":false,"suffix":""}],"container-title":"PLoS ONE","id":"ITEM-1","issue":"10","issued":{"date-parts":[["2007"]]},"page":"e1041","title":"Small-scale fisheries bycatch jeopardizez endangered pacific loggerhead turtles","type":"article-journal","volume":"2"},"uris":["http://www.mendeley.com/documents/?uuid=ad114e37-d9b8-4e35-94d5-df38cd5ed32a"]},{"id":"ITEM-2","itemData":{"DOI":"10.1016/j.fishres.2010.06.004","ISSN":"01657836","abstract":"Small-scale fisheries in Peru constitute an important source of food and employment for coastal communities where fish is the single most important natural resource. Utilizing official statistics and extensive survey data from 30 fishing ports and by onboard observers operating from 11 ports, we review how these fisheries grew from 1995 to 2005, and provide insights into the relative importance of different fishing gears and their modes of operation. Small-scale fisheries operate along the entire Peruvian coast and have continued expanding in number of vessels and fishers in all geopolitical regions except one. Nationwide, the number of fishers grew by 34% from 28. 098 to 37. 727 and the number of vessels increased by 54% from 6268 to 9667. At 30 harbors, the number of vessels increased for purse seiners (17.8%) and longliners (357.4%), while gillnets decreased (-14.5%). These dramatic changes could jeopardize the sustainability of these fisheries and the livelihoods of those who depend upon them, especially considering the limited capacity for management. Despite increase in effort, catch and catch per vessel have decreased, especially in some of the sub-regions that previously constituted the majority of effort and landings, raising concerns regarding their sustainability. Of the fishing gears monitored, gillnets were shown to have the most frequent interactions with threatened taxa such as marine mammals, seabirds and sea turtles. The total length of gillnets set in Peru was estimated at &gt;100. 000. km of net per year, about 14 times the length used by the Taiwanese high seas driftnet fleet in the Pacific before it was banned. Longlines, although shown to be a more efficient fishing method (economically and in terms of selectivity), still had bycatch of turtles and seabirds, and marine mammals are targeted to be used as bait. We conservatively estimate that longline vessels operating in Peru set an average of 80 million hooks per year; equivalent to one-third of the annual effort of the global industrial swordfish longline fishery. We conclude that, despite their definition as small-scale, the magnitude of these fleets and their fishing effort are vast and are of concern with regard to their long term sustainability and their impacts and interactions with large marine vertebrates. We highlight the need for increased research and management measures to ensure the long term viability of these fisheries. © 2010 Elsevier B.V.","author":[{"dropping-particle":"","family":"Alfaro-Shigueto","given":"Joanna","non-dropping-particle":"","parse-names":false,"suffix":""},{"dropping-particle":"","family":"Mangel","given":"Jeffrey C.","non-dropping-particle":"","parse-names":false,"suffix":""},{"dropping-particle":"","family":"Pajuelo","given":"Mariela","non-dropping-particle":"","parse-names":false,"suffix":""},{"dropping-particle":"","family":"Dutton","given":"Peter H.","non-dropping-particle":"","parse-names":false,"suffix":""},{"dropping-particle":"","family":"Seminoff","given":"Jeffrey A.","non-dropping-particle":"","parse-names":false,"suffix":""},{"dropping-particle":"","family":"Godley","given":"Brendan J.","non-dropping-particle":"","parse-names":false,"suffix":""}],"container-title":"Fisheries Research","id":"ITEM-2","issue":"1","issued":{"date-parts":[["2010"]]},"page":"8-17","title":"Where small can have a large impact: Structure and characterization of small-scale fisheries in Peru","type":"article-journal","volume":"106"},"uris":["http://www.mendeley.com/documents/?uuid=9fe62c03-6310-456a-90b2-7f626243a187"]}],"mendeley":{"formattedCitation":"(Peckham &lt;i&gt;et al.&lt;/i&gt;, 2007; Alfaro-Shigueto &lt;i&gt;et al.&lt;/i&gt;, 2010)","manualFormatting":"(Peckham et al., 2007; Bugoni et al., 2008; Alfaro-Shigueto et al., 2010)","plainTextFormattedCitation":"(Peckham et al., 2007; Alfaro-Shigueto et al., 2010)","previouslyFormattedCitation":"(Peckham &lt;i&gt;et al.&lt;/i&gt;, 2007; Alfaro-Shigueto &lt;i&gt;et al.&lt;/i&gt;, 2010)"},"properties":{"noteIndex":0},"schema":"https://github.com/citation-style-language/schema/raw/master/csl-citation.json"}</w:instrText>
      </w:r>
      <w:r w:rsidRPr="00A34CD9">
        <w:rPr>
          <w:rFonts w:cstheme="minorHAnsi"/>
          <w:lang w:val="en-GB"/>
        </w:rPr>
        <w:fldChar w:fldCharType="separate"/>
      </w:r>
      <w:r w:rsidR="00EF50D5" w:rsidRPr="00A34CD9">
        <w:rPr>
          <w:rFonts w:cstheme="minorHAnsi"/>
          <w:noProof/>
          <w:lang w:val="en-GB"/>
        </w:rPr>
        <w:t xml:space="preserve">(Peckham </w:t>
      </w:r>
      <w:r w:rsidR="00EF50D5" w:rsidRPr="00A34CD9">
        <w:rPr>
          <w:rFonts w:cstheme="minorHAnsi"/>
          <w:i/>
          <w:noProof/>
          <w:lang w:val="en-GB"/>
        </w:rPr>
        <w:t>et al.</w:t>
      </w:r>
      <w:r w:rsidR="00EF50D5" w:rsidRPr="00A34CD9">
        <w:rPr>
          <w:rFonts w:cstheme="minorHAnsi"/>
          <w:noProof/>
          <w:lang w:val="en-GB"/>
        </w:rPr>
        <w:t xml:space="preserve">, 2007; </w:t>
      </w:r>
      <w:r w:rsidR="00FF6AB0" w:rsidRPr="00A34CD9">
        <w:rPr>
          <w:rFonts w:cstheme="minorHAnsi"/>
          <w:noProof/>
          <w:lang w:val="en-GB"/>
        </w:rPr>
        <w:t xml:space="preserve">Bugoni </w:t>
      </w:r>
      <w:r w:rsidR="00FF6AB0" w:rsidRPr="00A34CD9">
        <w:rPr>
          <w:rFonts w:cstheme="minorHAnsi"/>
          <w:i/>
          <w:iCs/>
          <w:noProof/>
          <w:lang w:val="en-GB"/>
        </w:rPr>
        <w:t xml:space="preserve">et al., </w:t>
      </w:r>
      <w:r w:rsidR="00FF6AB0" w:rsidRPr="00A34CD9">
        <w:rPr>
          <w:rFonts w:cstheme="minorHAnsi"/>
          <w:noProof/>
          <w:lang w:val="en-GB"/>
        </w:rPr>
        <w:t xml:space="preserve">2008; </w:t>
      </w:r>
      <w:r w:rsidR="00EF50D5" w:rsidRPr="00A34CD9">
        <w:rPr>
          <w:rFonts w:cstheme="minorHAnsi"/>
          <w:noProof/>
          <w:lang w:val="en-GB"/>
        </w:rPr>
        <w:t xml:space="preserve">Alfaro-Shigueto </w:t>
      </w:r>
      <w:r w:rsidR="00EF50D5" w:rsidRPr="00A34CD9">
        <w:rPr>
          <w:rFonts w:cstheme="minorHAnsi"/>
          <w:i/>
          <w:noProof/>
          <w:lang w:val="en-GB"/>
        </w:rPr>
        <w:t>et al.</w:t>
      </w:r>
      <w:r w:rsidR="00EF50D5" w:rsidRPr="00A34CD9">
        <w:rPr>
          <w:rFonts w:cstheme="minorHAnsi"/>
          <w:noProof/>
          <w:lang w:val="en-GB"/>
        </w:rPr>
        <w:t>, 2010)</w:t>
      </w:r>
      <w:r w:rsidRPr="00A34CD9">
        <w:rPr>
          <w:rFonts w:cstheme="minorHAnsi"/>
          <w:lang w:val="en-GB"/>
        </w:rPr>
        <w:fldChar w:fldCharType="end"/>
      </w:r>
      <w:bookmarkEnd w:id="9"/>
      <w:bookmarkEnd w:id="12"/>
      <w:r w:rsidR="008C260F" w:rsidRPr="00A34CD9">
        <w:rPr>
          <w:rFonts w:cstheme="minorHAnsi"/>
          <w:lang w:val="en-GB"/>
        </w:rPr>
        <w:t xml:space="preserve"> </w:t>
      </w:r>
      <w:r w:rsidR="00FF6AB0" w:rsidRPr="00A34CD9">
        <w:rPr>
          <w:rFonts w:cstheme="minorHAnsi"/>
          <w:lang w:val="en-GB"/>
        </w:rPr>
        <w:t xml:space="preserve">artisanal fisheries </w:t>
      </w:r>
      <w:r w:rsidR="00FF6AB0" w:rsidRPr="000A7A51">
        <w:rPr>
          <w:rFonts w:cstheme="minorHAnsi"/>
          <w:lang w:val="en-GB"/>
        </w:rPr>
        <w:t>are generally understudied and often unregulated, creating a knowledge gap representing a major challenge to sustainable fisheries management and the conservation of PETs</w:t>
      </w:r>
      <w:r w:rsidR="00811F99" w:rsidRPr="000A7A51">
        <w:rPr>
          <w:rFonts w:cstheme="minorHAnsi"/>
          <w:lang w:val="en-GB"/>
        </w:rPr>
        <w:t xml:space="preserve"> </w:t>
      </w:r>
      <w:bookmarkStart w:id="13" w:name="_Hlk102127767"/>
      <w:r w:rsidR="00811F99" w:rsidRPr="000A7A51">
        <w:rPr>
          <w:rFonts w:cstheme="minorHAnsi"/>
          <w:lang w:val="en-GB"/>
        </w:rPr>
        <w:fldChar w:fldCharType="begin" w:fldLock="1"/>
      </w:r>
      <w:r w:rsidR="00FD3513" w:rsidRPr="000A7A51">
        <w:rPr>
          <w:rFonts w:cstheme="minorHAnsi"/>
          <w:lang w:val="en-GB"/>
        </w:rPr>
        <w:instrText>ADDIN CSL_CITATION {"citationItems":[{"id":"ITEM-1","itemData":{"DOI":"10.1016/j.ocecoaman.2016.01.004","ISSN":"09645691","abstract":"Artisanal fisheries represents an important source of employment and income for many Mediterranean coastal communities, as well as an important cultural and traditional identity factor at a regional level. However, despite its importance, it is generally under-studied, in both ecological and socio-economic terms, so hampering the chance of developing sustainable and integrated management measures. At present, on the West coast of the Adriatic Sea, within the three-mile area, artisanal fisheries and hydraulic dredging are the only approved commercial fishing activities. This study confirmed the importance of the artisanal fisheries in this area, representing a multitarget and multigear activity. Despite the 39 exploited species, however, we found high vulnerability both for species (76% of total catches depend upon only three species-cuttlefish, mantis shrimp, and sole) and thermal affinity groups (cold and temperate species contributed to the entire catches). Furthermore, our data showed that fishing effort and CPUE values were greater than those reported at the regional level, and also indicated that the discard rate was lower than in other Adriatic areas. Regarding ecological effects, the two trophodynamic indicators that we applied showed a sustainable situation, but scenarios of possible changes in environmental or fishing effort conditions highlighted the proximity of the stock to the unsustainability threshold. Our findings suggest the need for an adequate management strategy to cope with possible future changes in population boundaries and conditions.","author":[{"dropping-particle":"","family":"Fabio","given":"Pranovi","non-dropping-particle":"","parse-names":false,"suffix":""},{"dropping-particle":"","family":"Silvia","given":"Colla","non-dropping-particle":"","parse-names":false,"suffix":""},{"dropping-particle":"","family":"Paolo","given":"Valeri","non-dropping-particle":"","parse-names":false,"suffix":""},{"dropping-particle":"","family":"Anelli Monti","given":"Marco","non-dropping-particle":"","parse-names":false,"suffix":""}],"container-title":"Ocean and Coastal Management","id":"ITEM-1","issue":"1967","issued":{"date-parts":[["2016"]]},"page":"49-56","publisher":"Elsevier Ltd","title":"Present and future status of artisanal fisheries in the Adriatic Sea (western Mediterranean Sea)","type":"article-journal","volume":"122"},"uris":["http://www.mendeley.com/documents/?uuid=b74a4bd9-5ccc-4871-8db3-b695f2615537"]}],"mendeley":{"formattedCitation":"(Fabio &lt;i&gt;et al.&lt;/i&gt;, 2016)","plainTextFormattedCitation":"(Fabio et al., 2016)","previouslyFormattedCitation":"(Fabio &lt;i&gt;et al.&lt;/i&gt;, 2016)"},"properties":{"noteIndex":0},"schema":"https://github.com/citation-style-language/schema/raw/master/csl-citation.json"}</w:instrText>
      </w:r>
      <w:r w:rsidR="00811F99" w:rsidRPr="000A7A51">
        <w:rPr>
          <w:rFonts w:cstheme="minorHAnsi"/>
          <w:lang w:val="en-GB"/>
        </w:rPr>
        <w:fldChar w:fldCharType="separate"/>
      </w:r>
      <w:r w:rsidR="00811F99" w:rsidRPr="000A7A51">
        <w:rPr>
          <w:rFonts w:cstheme="minorHAnsi"/>
          <w:noProof/>
          <w:lang w:val="en-GB"/>
        </w:rPr>
        <w:t xml:space="preserve">(Fabio </w:t>
      </w:r>
      <w:r w:rsidR="00811F99" w:rsidRPr="000A7A51">
        <w:rPr>
          <w:rFonts w:cstheme="minorHAnsi"/>
          <w:i/>
          <w:noProof/>
          <w:lang w:val="en-GB"/>
        </w:rPr>
        <w:t>et al.</w:t>
      </w:r>
      <w:r w:rsidR="00811F99" w:rsidRPr="000A7A51">
        <w:rPr>
          <w:rFonts w:cstheme="minorHAnsi"/>
          <w:noProof/>
          <w:lang w:val="en-GB"/>
        </w:rPr>
        <w:t>, 2016)</w:t>
      </w:r>
      <w:r w:rsidR="00811F99" w:rsidRPr="000A7A51">
        <w:rPr>
          <w:rFonts w:cstheme="minorHAnsi"/>
          <w:lang w:val="en-GB"/>
        </w:rPr>
        <w:fldChar w:fldCharType="end"/>
      </w:r>
      <w:bookmarkEnd w:id="13"/>
      <w:r w:rsidRPr="000A7A51">
        <w:rPr>
          <w:rFonts w:cstheme="minorHAnsi"/>
          <w:lang w:val="en-GB"/>
        </w:rPr>
        <w:t>.</w:t>
      </w:r>
      <w:bookmarkEnd w:id="11"/>
      <w:r w:rsidRPr="000A7A51">
        <w:rPr>
          <w:rFonts w:cstheme="minorHAnsi"/>
          <w:lang w:val="en-GB"/>
        </w:rPr>
        <w:t xml:space="preserve"> </w:t>
      </w:r>
      <w:bookmarkEnd w:id="10"/>
      <w:r w:rsidRPr="000A7A51">
        <w:rPr>
          <w:rFonts w:cstheme="minorHAnsi"/>
          <w:lang w:val="en-GB"/>
        </w:rPr>
        <w:t>Though not all fish</w:t>
      </w:r>
      <w:r w:rsidR="00D70814" w:rsidRPr="000A7A51">
        <w:rPr>
          <w:rFonts w:cstheme="minorHAnsi"/>
          <w:lang w:val="en-GB"/>
        </w:rPr>
        <w:t xml:space="preserve">ing </w:t>
      </w:r>
      <w:r w:rsidR="001C2000" w:rsidRPr="000A7A51">
        <w:rPr>
          <w:rFonts w:cstheme="minorHAnsi"/>
          <w:lang w:val="en-GB"/>
        </w:rPr>
        <w:t>gears</w:t>
      </w:r>
      <w:r w:rsidRPr="000A7A51">
        <w:rPr>
          <w:rFonts w:cstheme="minorHAnsi"/>
          <w:lang w:val="en-GB"/>
        </w:rPr>
        <w:t xml:space="preserve"> pose the same degree of risk to </w:t>
      </w:r>
      <w:r w:rsidR="0008299E" w:rsidRPr="000A7A51">
        <w:rPr>
          <w:rFonts w:cstheme="minorHAnsi"/>
          <w:lang w:val="en-GB"/>
        </w:rPr>
        <w:t>PETs</w:t>
      </w:r>
      <w:r w:rsidR="004A0666" w:rsidRPr="000A7A51">
        <w:rPr>
          <w:rFonts w:cstheme="minorHAnsi"/>
          <w:lang w:val="en-GB"/>
        </w:rPr>
        <w:t xml:space="preserve">, </w:t>
      </w:r>
      <w:r w:rsidRPr="000A7A51">
        <w:rPr>
          <w:rFonts w:cstheme="minorHAnsi"/>
          <w:lang w:val="en-GB"/>
        </w:rPr>
        <w:t xml:space="preserve">baited hooks </w:t>
      </w:r>
      <w:r w:rsidR="00197D09" w:rsidRPr="000A7A51">
        <w:rPr>
          <w:rFonts w:cstheme="minorHAnsi"/>
          <w:lang w:val="en-GB"/>
        </w:rPr>
        <w:t xml:space="preserve">are particularly dangerous for seabirds </w:t>
      </w:r>
      <w:r w:rsidRPr="000A7A51">
        <w:rPr>
          <w:rFonts w:cstheme="minorHAnsi"/>
          <w:lang w:val="en-GB"/>
        </w:rPr>
        <w:t>offer</w:t>
      </w:r>
      <w:r w:rsidR="00197D09" w:rsidRPr="000A7A51">
        <w:rPr>
          <w:rFonts w:cstheme="minorHAnsi"/>
          <w:lang w:val="en-GB"/>
        </w:rPr>
        <w:t>ing</w:t>
      </w:r>
      <w:r w:rsidRPr="000A7A51">
        <w:rPr>
          <w:rFonts w:cstheme="minorHAnsi"/>
          <w:lang w:val="en-GB"/>
        </w:rPr>
        <w:t xml:space="preserve"> the opportunity for an easily accessible resource, entailing a</w:t>
      </w:r>
      <w:r w:rsidR="00BA0EC9" w:rsidRPr="000A7A51">
        <w:rPr>
          <w:rFonts w:cstheme="minorHAnsi"/>
          <w:lang w:val="en-GB"/>
        </w:rPr>
        <w:t xml:space="preserve"> potential</w:t>
      </w:r>
      <w:r w:rsidRPr="000A7A51">
        <w:rPr>
          <w:rFonts w:cstheme="minorHAnsi"/>
          <w:lang w:val="en-GB"/>
        </w:rPr>
        <w:t xml:space="preserve"> high risk of individuals being hooked and subsequently drowned</w:t>
      </w:r>
      <w:r w:rsidR="000A7A51" w:rsidRPr="000A7A51">
        <w:rPr>
          <w:rFonts w:cstheme="minorHAnsi"/>
          <w:lang w:val="en-GB"/>
        </w:rPr>
        <w:t xml:space="preserve"> </w:t>
      </w:r>
      <w:r w:rsidR="000A7A51" w:rsidRPr="000A7A51">
        <w:rPr>
          <w:rFonts w:cstheme="minorHAnsi"/>
          <w:lang w:val="en-GB"/>
        </w:rPr>
        <w:fldChar w:fldCharType="begin" w:fldLock="1"/>
      </w:r>
      <w:r w:rsidR="000A7A51" w:rsidRPr="000A7A51">
        <w:rPr>
          <w:rFonts w:cstheme="minorHAnsi"/>
          <w:lang w:val="en-GB"/>
        </w:rPr>
        <w:instrText>ADDIN CSL_CITATION {"citationItems":[{"id":"ITEM-1","itemData":{"DOI":"10.1016/j.biocon.2017.04.002","ISSN":"00063207","abstract":"Seabirds, as foragers in marine waters for at least part of their lifecycle, encounter the global fishing fleet in search of marine resources. While fishing gear is designed to catch fish and invertebrates, it also catches unintended species, including seabirds. We reviewed bycatch incidence for 378 marine and coastal bird species in 18 different gear types, and found that 60% (228 species) have been recorded interacting with at least one type of fishing gear. At least one species from each of the taxonomic groups analyzed (generally at the family level) has been documented interacting with fishing gear. With respect to two measures of degree of interaction, four families have a high degree of documented interaction: Gaviidae (loons or divers), Podicipedidae (grebes), Diomedeidae (albatrosses) and Sulidae (boobies and gannets). Set and drift gillnets (among the most studied gear types), have the greatest number of documented species interactions: 92 and 88 species, respectively. Hook gear (longlines and handlines) have documented interactions with 127 species. Together these four gear types have documented bycatch of 193 species. The waters of the Arctic, the Caribbean, the Guinea and Canary Currents in the Atlantic, the Indian Ocean and Asia have been poorly studied. Particular gear types, including industrially-deployed seines, and the artisanal fisheries sector also constitute significant gaps in our knowledge of seabird bycatch patterns worldwide.","author":[{"dropping-particle":"","family":"Pott","given":"Caroline","non-dropping-particle":"","parse-names":false,"suffix":""},{"dropping-particle":"","family":"Wiedenfeld","given":"David A.","non-dropping-particle":"","parse-names":false,"suffix":""}],"container-title":"Biological Conservation","id":"ITEM-1","issued":{"date-parts":[["2017","6","1"]]},"page":"192-204","publisher":"Elsevier Ltd","title":"Information gaps limit our understanding of seabird bycatch in global fisheries","type":"article","volume":"210"},"uris":["http://www.mendeley.com/documents/?uuid=4040544f-0dc8-3198-a6b3-3c6b6719aa8b"]}],"mendeley":{"formattedCitation":"(Pott and Wiedenfeld, 2017)","plainTextFormattedCitation":"(Pott and Wiedenfeld, 2017)"},"properties":{"noteIndex":0},"schema":"https://github.com/citation-style-language/schema/raw/master/csl-citation.json"}</w:instrText>
      </w:r>
      <w:r w:rsidR="000A7A51" w:rsidRPr="000A7A51">
        <w:rPr>
          <w:rFonts w:cstheme="minorHAnsi"/>
          <w:lang w:val="en-GB"/>
        </w:rPr>
        <w:fldChar w:fldCharType="separate"/>
      </w:r>
      <w:r w:rsidR="000A7A51" w:rsidRPr="000A7A51">
        <w:rPr>
          <w:rFonts w:cstheme="minorHAnsi"/>
          <w:noProof/>
          <w:lang w:val="en-GB"/>
        </w:rPr>
        <w:t>(Pott and Wiedenfeld, 2017)</w:t>
      </w:r>
      <w:r w:rsidR="000A7A51" w:rsidRPr="000A7A51">
        <w:rPr>
          <w:rFonts w:cstheme="minorHAnsi"/>
          <w:lang w:val="en-GB"/>
        </w:rPr>
        <w:fldChar w:fldCharType="end"/>
      </w:r>
      <w:r w:rsidRPr="000A7A51">
        <w:rPr>
          <w:rFonts w:cstheme="minorHAnsi"/>
          <w:lang w:val="en-GB"/>
        </w:rPr>
        <w:t xml:space="preserve">. In this regard, the knowledge regarding </w:t>
      </w:r>
      <w:r w:rsidR="0008299E" w:rsidRPr="000A7A51">
        <w:rPr>
          <w:rFonts w:cstheme="minorHAnsi"/>
          <w:lang w:val="en-GB"/>
        </w:rPr>
        <w:t xml:space="preserve">the bycatch in </w:t>
      </w:r>
      <w:r w:rsidR="004A1D5F" w:rsidRPr="000A7A51">
        <w:rPr>
          <w:rFonts w:cstheme="minorHAnsi"/>
          <w:lang w:val="en-GB"/>
        </w:rPr>
        <w:t>artisanal fisheries performed with</w:t>
      </w:r>
      <w:r w:rsidR="004A1D5F" w:rsidRPr="00A34CD9">
        <w:rPr>
          <w:rFonts w:cstheme="minorHAnsi"/>
          <w:lang w:val="en-GB"/>
        </w:rPr>
        <w:t xml:space="preserve"> hook-and-line</w:t>
      </w:r>
      <w:r w:rsidRPr="00A34CD9">
        <w:rPr>
          <w:rFonts w:cstheme="minorHAnsi"/>
          <w:lang w:val="en-GB"/>
        </w:rPr>
        <w:t xml:space="preserve"> is ever-growing, but </w:t>
      </w:r>
      <w:r w:rsidRPr="00A34CD9">
        <w:rPr>
          <w:rFonts w:cstheme="minorHAnsi"/>
          <w:lang w:val="en-GB"/>
        </w:rPr>
        <w:lastRenderedPageBreak/>
        <w:t xml:space="preserve">mainly based on longline fisheries, while few studies </w:t>
      </w:r>
      <w:r w:rsidR="00243BB5" w:rsidRPr="00A34CD9">
        <w:rPr>
          <w:rFonts w:cstheme="minorHAnsi"/>
          <w:lang w:val="en-GB"/>
        </w:rPr>
        <w:t xml:space="preserve">have </w:t>
      </w:r>
      <w:r w:rsidRPr="00A34CD9">
        <w:rPr>
          <w:rFonts w:cstheme="minorHAnsi"/>
          <w:lang w:val="en-GB"/>
        </w:rPr>
        <w:t>considered other fisheries such as pole and line or trolling</w:t>
      </w:r>
      <w:r w:rsidR="006C0451" w:rsidRPr="00A34CD9">
        <w:rPr>
          <w:rFonts w:cstheme="minorHAnsi"/>
          <w:lang w:val="en-GB"/>
        </w:rPr>
        <w:t xml:space="preserve"> </w:t>
      </w:r>
      <w:r w:rsidR="002A4FBE" w:rsidRPr="00A34CD9">
        <w:rPr>
          <w:rFonts w:cstheme="minorHAnsi"/>
          <w:lang w:val="en-GB"/>
        </w:rPr>
        <w:fldChar w:fldCharType="begin" w:fldLock="1"/>
      </w:r>
      <w:r w:rsidR="000A7A51">
        <w:rPr>
          <w:rFonts w:cstheme="minorHAnsi"/>
          <w:lang w:val="en-GB"/>
        </w:rPr>
        <w:instrText>ADDIN CSL_CITATION {"citationItems":[{"id":"ITEM-1","itemData":{"DOI":"10.1016/j.fishres.2007.10.013","ISSN":"01657836","abstract":"The decline of populations of certain seabirds and sea turtles around the world is partly related to their incidental capture in large-scale fisheries. However, the impacts of small-scale fisheries on endangered seabirds and sea turtles, being carried out in many places around the world, have been largely neglected by scientists and governments. We monitored 178 fishing days and described a range of poorly known hook-and-line commercial fisheries carried out by the Itaipava fleet, southeastern Brazil, composed by 497 vessels and deploying hooks from 18°S to 35°S. Seven fisheries were defined: fast trolling for tuna and tuna-like species, slow trolling for Bigeye tuna, handlining, surface longline for Dolphinfish, pelagic longline for Swordfish, bottom dropline, and pole-and-line with live bait. We observed bycatch of 47 seabirds of six species and 45 turtles of four species. Capture rates were higher for the surface longline for Dolphinfish (0.15 birds/1000 hooks and 1.08 turtles/1000 hooks), slow trolling for Bigeye tuna (0.41 birds/day) and handlining targeting Yellowfin tuna (0.61 birds/day). Endangered Spectacled petrel (Procellaria conspicillata), Atlantic Yellow-nosed (Thalassarche chlororhynchos), and Black-browed (T. melanophris) albatrosses were the main seabirds caught. Immature Loggerhead turtles (Caretta caretta) and immature or adult Leatherback turtles (Dermochelys coriacea) were the main sea turtles affected by the surface longline for Dolphinfish. Monitoring the fleet and bycatch levels, development of mitigation measures, establishment of educational programs, government control over the fleet, and enforcement, are urgently required for the hook-and-line fisheries described in the present study. © 2007 Elsevier B.V. All rights reserved.","author":[{"dropping-particle":"","family":"Bugoni","given":"Leandro","non-dropping-particle":"","parse-names":false,"suffix":""},{"dropping-particle":"","family":"Neves","given":"Tatiana S.","non-dropping-particle":"","parse-names":false,"suffix":""},{"dropping-particle":"","family":"Leite","given":"Nilamon O.","non-dropping-particle":"","parse-names":false,"suffix":""},{"dropping-particle":"","family":"Carvalho","given":"Demétrio","non-dropping-particle":"","parse-names":false,"suffix":""},{"dropping-particle":"","family":"Sales","given":"Gilberto","non-dropping-particle":"","parse-names":false,"suffix":""},{"dropping-particle":"","family":"Furness","given":"Robert W.","non-dropping-particle":"","parse-names":false,"suffix":""},{"dropping-particle":"","family":"Stein","given":"Carlos E.","non-dropping-particle":"","parse-names":false,"suffix":""},{"dropping-particle":"V.","family":"Peppes","given":"Fabiano","non-dropping-particle":"","parse-names":false,"suffix":""},{"dropping-particle":"","family":"Giffoni","given":"Bruno B.","non-dropping-particle":"","parse-names":false,"suffix":""},{"dropping-particle":"","family":"Monteiro","given":"Danielle S.","non-dropping-particle":"","parse-names":false,"suffix":""}],"container-title":"Fisheries Research","id":"ITEM-1","issue":"1-3","issued":{"date-parts":[["2008"]]},"page":"217-224","title":"Potential bycatch of seabirds and turtles in hook-and-line fisheries of the Itaipava Fleet, Brazil","type":"article-journal","volume":"90"},"prefix":"but ","uris":["http://www.mendeley.com/documents/?uuid=d477d2c4-20e6-4192-ac06-9e9bc318ea5b"]},{"id":"ITEM-2","itemData":{"DOI":"10.1371/journal.pone.0177391","ISBN":"1111111111","ISSN":"19326203","PMID":"28542258","abstract":"Tropical tuna fisheries are among the largest worldwide, with some having significant bycatch issues. However, pole-and-line tuna fisheries are widely believed to have low bycatch rates, although these have rarely been quantified. The Maldives has an important pole-and-line fishery, targeting skipjack tuna (Katsuwonus pelamis). In the Maldives, 106 pole-and-line tuna fishing days were observed between August 2014 and November 2015. During 161 fishing events, tuna catches amounted to 147 t: 72% by weight was skipjack, 25% yellowfin tuna (Thunnus albacares) and 3% other tunas. Bycatch (all non-tuna species caught plus all tuna discards) amounted to 951 kg (0.65% of total tuna catch). Most of the bycatch (95%) was utilized, and some bycatch was released alive, so dead discards were particularly low (0.02% of total tuna catch, or 22 kg per 100 t). Rainbow runner (Elagatis bipinnulata) and dolphinfish (Coryphaena hippurus) together constituted 93% of the bycatch. Live releases included small numbers of silky sharks (Carcharhinus falciformis) and seabirds (noddies, Anous tenuirostris and A. stolidus). Pole-and-line tuna fishing was conducted on free schools and schools associated with various objects (Maldivian anchored fish aggregating devices [aFADs], drifting FADs from western Indian Ocean purse seine fisheries, other drifting objects and seamounts). Free school catches typically included a high proportion of large skipjack and significantly less bycatch. Associated schools produced more variable tuna catches and higher bycatch rates. Fishing trips in the south had significantly lower bycatch rates than those in the north. This study is the first to quantify bycatch rates in the Maldives pole-and-line tuna fishery and the influence of school association on catch composition. Ratio estimator methods suggest roughly 552.6 t of bycatch and 27.9 t of discards are caught annually in the fishery (based on 2015 national catch), much less than other Indian Ocean tuna fisheries, e.g. gillnet, purse-seine, and longline.","author":[{"dropping-particle":"","family":"Miller","given":"Kelsey I.","non-dropping-particle":"","parse-names":false,"suffix":""},{"dropping-particle":"","family":"Nadheeh","given":"Ibrahim","non-dropping-particle":"","parse-names":false,"suffix":""},{"dropping-particle":"","family":"Riyaz Jauharee","given":"A.","non-dropping-particle":"","parse-names":false,"suffix":""},{"dropping-particle":"","family":"Charles Anderson","given":"R.","non-dropping-particle":"","parse-names":false,"suffix":""},{"dropping-particle":"","family":"Shiham Adam","given":"M.","non-dropping-particle":"","parse-names":false,"suffix":""}],"container-title":"PLoS ONE","id":"ITEM-2","issue":"5","issued":{"date-parts":[["2017"]]},"page":"e0177391","title":"Bycatch in the Maldivian pole-and-line tuna fishery","type":"article-journal","volume":"12"},"uris":["http://www.mendeley.com/documents/?uuid=e1243dfe-b0b8-438f-99bb-dabfd3925072"]}],"mendeley":{"formattedCitation":"(but Bugoni &lt;i&gt;et al.&lt;/i&gt;, 2008a; Miller &lt;i&gt;et al.&lt;/i&gt;, 2017)","manualFormatting":"(Bugoni et al., 2008a; Miller et al., 2017)","plainTextFormattedCitation":"(but Bugoni et al., 2008a; Miller et al., 2017)","previouslyFormattedCitation":"(but Bugoni &lt;i&gt;et al.&lt;/i&gt;, 2008a; Miller &lt;i&gt;et al.&lt;/i&gt;, 2017)"},"properties":{"noteIndex":0},"schema":"https://github.com/citation-style-language/schema/raw/master/csl-citation.json"}</w:instrText>
      </w:r>
      <w:r w:rsidR="002A4FBE" w:rsidRPr="00A34CD9">
        <w:rPr>
          <w:rFonts w:cstheme="minorHAnsi"/>
          <w:lang w:val="en-GB"/>
        </w:rPr>
        <w:fldChar w:fldCharType="separate"/>
      </w:r>
      <w:r w:rsidR="002A4FBE" w:rsidRPr="00A34CD9">
        <w:rPr>
          <w:rFonts w:cstheme="minorHAnsi"/>
          <w:noProof/>
          <w:lang w:val="en-GB"/>
        </w:rPr>
        <w:t xml:space="preserve">(Bugoni </w:t>
      </w:r>
      <w:r w:rsidR="002A4FBE" w:rsidRPr="00A34CD9">
        <w:rPr>
          <w:rFonts w:cstheme="minorHAnsi"/>
          <w:i/>
          <w:noProof/>
          <w:lang w:val="en-GB"/>
        </w:rPr>
        <w:t>et al.</w:t>
      </w:r>
      <w:r w:rsidR="002A4FBE" w:rsidRPr="00A34CD9">
        <w:rPr>
          <w:rFonts w:cstheme="minorHAnsi"/>
          <w:noProof/>
          <w:lang w:val="en-GB"/>
        </w:rPr>
        <w:t xml:space="preserve">, 2008a; Miller </w:t>
      </w:r>
      <w:r w:rsidR="002A4FBE" w:rsidRPr="00A34CD9">
        <w:rPr>
          <w:rFonts w:cstheme="minorHAnsi"/>
          <w:i/>
          <w:noProof/>
          <w:lang w:val="en-GB"/>
        </w:rPr>
        <w:t>et al.</w:t>
      </w:r>
      <w:r w:rsidR="002A4FBE" w:rsidRPr="00A34CD9">
        <w:rPr>
          <w:rFonts w:cstheme="minorHAnsi"/>
          <w:noProof/>
          <w:lang w:val="en-GB"/>
        </w:rPr>
        <w:t>, 2017)</w:t>
      </w:r>
      <w:r w:rsidR="002A4FBE" w:rsidRPr="00A34CD9">
        <w:rPr>
          <w:rFonts w:cstheme="minorHAnsi"/>
          <w:lang w:val="en-GB"/>
        </w:rPr>
        <w:fldChar w:fldCharType="end"/>
      </w:r>
      <w:r w:rsidRPr="00A34CD9">
        <w:rPr>
          <w:rFonts w:cstheme="minorHAnsi"/>
          <w:lang w:val="en-GB"/>
        </w:rPr>
        <w:t xml:space="preserve">. </w:t>
      </w:r>
      <w:r w:rsidR="00010B30" w:rsidRPr="00A34CD9">
        <w:rPr>
          <w:rFonts w:cstheme="minorHAnsi"/>
          <w:lang w:val="en-GB"/>
        </w:rPr>
        <w:t xml:space="preserve">Consequently, as a major conservation and welfare concern, </w:t>
      </w:r>
      <w:r w:rsidR="00316773" w:rsidRPr="00A34CD9">
        <w:rPr>
          <w:rFonts w:cstheme="minorHAnsi"/>
          <w:lang w:val="en-GB"/>
        </w:rPr>
        <w:t xml:space="preserve">artisanal fisheries </w:t>
      </w:r>
      <w:r w:rsidR="00010B30" w:rsidRPr="00A34CD9">
        <w:rPr>
          <w:rFonts w:cstheme="minorHAnsi"/>
          <w:lang w:val="en-GB"/>
        </w:rPr>
        <w:t>bycatch assessment</w:t>
      </w:r>
      <w:r w:rsidR="00316773" w:rsidRPr="00A34CD9">
        <w:rPr>
          <w:rFonts w:cstheme="minorHAnsi"/>
          <w:lang w:val="en-GB"/>
        </w:rPr>
        <w:t>s</w:t>
      </w:r>
      <w:r w:rsidR="00010B30" w:rsidRPr="00A34CD9">
        <w:rPr>
          <w:rFonts w:cstheme="minorHAnsi"/>
          <w:lang w:val="en-GB"/>
        </w:rPr>
        <w:t xml:space="preserve"> are urgently required, particularly in </w:t>
      </w:r>
      <w:r w:rsidR="007B210E" w:rsidRPr="00A34CD9">
        <w:rPr>
          <w:rFonts w:cstheme="minorHAnsi"/>
          <w:lang w:val="en-GB"/>
        </w:rPr>
        <w:t>the context of Ecosystem</w:t>
      </w:r>
      <w:r w:rsidR="00152B58" w:rsidRPr="00A34CD9">
        <w:rPr>
          <w:rFonts w:cstheme="minorHAnsi"/>
          <w:lang w:val="en-GB"/>
        </w:rPr>
        <w:t>-</w:t>
      </w:r>
      <w:r w:rsidR="007B210E" w:rsidRPr="00A34CD9">
        <w:rPr>
          <w:rFonts w:cstheme="minorHAnsi"/>
          <w:lang w:val="en-GB"/>
        </w:rPr>
        <w:t>Based Fisheries Management (EBFM)</w:t>
      </w:r>
      <w:r w:rsidR="00010B30" w:rsidRPr="00A34CD9">
        <w:rPr>
          <w:rFonts w:cstheme="minorHAnsi"/>
          <w:lang w:val="en-GB"/>
        </w:rPr>
        <w:t>.</w:t>
      </w:r>
    </w:p>
    <w:p w14:paraId="2F489CE2" w14:textId="435FD7C8" w:rsidR="00B32F08" w:rsidRPr="00A34CD9" w:rsidRDefault="00895899" w:rsidP="002A528E">
      <w:pPr>
        <w:suppressLineNumbers/>
        <w:spacing w:line="480" w:lineRule="auto"/>
        <w:jc w:val="both"/>
        <w:rPr>
          <w:rFonts w:cstheme="minorHAnsi"/>
          <w:lang w:val="en-GB"/>
        </w:rPr>
      </w:pPr>
      <w:bookmarkStart w:id="14" w:name="_Hlk101201156"/>
      <w:proofErr w:type="spellStart"/>
      <w:r w:rsidRPr="00A34CD9">
        <w:rPr>
          <w:rFonts w:cstheme="minorHAnsi"/>
          <w:lang w:val="en-GB"/>
        </w:rPr>
        <w:t>S</w:t>
      </w:r>
      <w:r w:rsidR="00B32F08" w:rsidRPr="00A34CD9">
        <w:rPr>
          <w:rFonts w:cstheme="minorHAnsi"/>
          <w:lang w:val="en-GB"/>
        </w:rPr>
        <w:t>patio</w:t>
      </w:r>
      <w:proofErr w:type="spellEnd"/>
      <w:r w:rsidR="00B32F08" w:rsidRPr="00A34CD9">
        <w:rPr>
          <w:rFonts w:cstheme="minorHAnsi"/>
          <w:lang w:val="en-GB"/>
        </w:rPr>
        <w:t xml:space="preserve">-temporal assessments of </w:t>
      </w:r>
      <w:r w:rsidR="002D6F24" w:rsidRPr="00A34CD9">
        <w:rPr>
          <w:rFonts w:cstheme="minorHAnsi"/>
          <w:lang w:val="en-GB"/>
        </w:rPr>
        <w:t xml:space="preserve">bycatch requires a </w:t>
      </w:r>
      <w:r w:rsidR="000F1F42" w:rsidRPr="00A34CD9">
        <w:rPr>
          <w:rFonts w:cstheme="minorHAnsi"/>
          <w:lang w:val="en-GB"/>
        </w:rPr>
        <w:t>scientific</w:t>
      </w:r>
      <w:r w:rsidR="002D6F24" w:rsidRPr="00A34CD9">
        <w:rPr>
          <w:rFonts w:cstheme="minorHAnsi"/>
          <w:lang w:val="en-GB"/>
        </w:rPr>
        <w:t xml:space="preserve"> sound approach to be meaningful, applicable, and comparable among fisheries. </w:t>
      </w:r>
      <w:r w:rsidR="00F55072" w:rsidRPr="00A34CD9">
        <w:rPr>
          <w:rFonts w:cstheme="minorHAnsi"/>
          <w:lang w:val="en-GB"/>
        </w:rPr>
        <w:t xml:space="preserve">In this context, </w:t>
      </w:r>
      <w:r w:rsidR="001467AF" w:rsidRPr="00A34CD9">
        <w:rPr>
          <w:rFonts w:cstheme="minorHAnsi"/>
          <w:lang w:val="en-GB"/>
        </w:rPr>
        <w:t>a variety of ecological risk assessment frameworks have been developed</w:t>
      </w:r>
      <w:r w:rsidR="00853608" w:rsidRPr="00A34CD9">
        <w:rPr>
          <w:rFonts w:cstheme="minorHAnsi"/>
          <w:lang w:val="en-GB"/>
        </w:rPr>
        <w:t xml:space="preserve"> </w:t>
      </w:r>
      <w:r w:rsidR="00853608" w:rsidRPr="00A34CD9">
        <w:rPr>
          <w:rFonts w:cstheme="minorHAnsi"/>
          <w:lang w:val="en-GB"/>
        </w:rPr>
        <w:fldChar w:fldCharType="begin" w:fldLock="1"/>
      </w:r>
      <w:r w:rsidR="00587896" w:rsidRPr="00A34CD9">
        <w:rPr>
          <w:rFonts w:cstheme="minorHAnsi"/>
          <w:lang w:val="en-GB"/>
        </w:rPr>
        <w:instrText>ADDIN CSL_CITATION {"citationItems":[{"id":"ITEM-1","itemData":{"DOI":"10.1016/j.marpol.2011.11.005","ISSN":"0308597X","abstract":"The risk of seabird-fishery interactions in the Western and Central Pacific Ocean (WCPO) was examined by analysing the overlap of seabird distributions with tuna and swordfish pelagic longline fisheries managed by the Western and Central Pacific Fisheries Commission (WCPFC) and its constituent members. The study used spatially-explicit Productivity-Susceptibility Analysis (PSA). Key data inputs were species productivity, fishing effort, likelihood of capture and species density by region. The outputs tailored results to the needs of fisheries- and wildlife-managers, indicating areas of greatest risk of species interactions, species of greatest concern for population impacts, and the flags or fisheries most likely to contribute to the risk. Large albatross species were found to be most likely to suffer population effects when exposed to longline fishing activity, followed by the larger petrels from the genuses Procellaria, Macronectes and Pterodroma. A mixture of coastal states with nesting seabird populations in their Exclusive Economic Zones (New Zealand, Australia and United States of America), distant water fishing nations (Japan, Taiwan) and flags of convenience (Vanuatu) contributed 90% of the risk to seabird populations. Recommendations include enhancing the level of fisheries observer monitoring in areas indicated as high to medium risk for seabird interactions, and consideration of spatial management tools, such as more intensive or more stringent seabird bycatch mitigation requirements in high- to medium-risk areas. The methods used, and similar studies conducted in the Atlantic Ocean could lead to improved targeting of monitoring resources, and greater specificity in the needs for seabird-mitigation measures. This will assist in reducing seabird mortality in longline fishing operations and with more effective use of resources for fishery managers in both domestic fisheries and RFMOs. © 2011 Elsevier Ltd.","author":[{"dropping-particle":"","family":"Waugh","given":"Susan M.","non-dropping-particle":"","parse-names":false,"suffix":""},{"dropping-particle":"","family":"Filippi","given":"Dominique P.","non-dropping-particle":"","parse-names":false,"suffix":""},{"dropping-particle":"","family":"Kirby","given":"David S.","non-dropping-particle":"","parse-names":false,"suffix":""},{"dropping-particle":"","family":"Abraham","given":"Edward","non-dropping-particle":"","parse-names":false,"suffix":""},{"dropping-particle":"","family":"Walker","given":"Nathan","non-dropping-particle":"","parse-names":false,"suffix":""}],"container-title":"Marine Policy","id":"ITEM-1","issue":"4","issued":{"date-parts":[["2012"]]},"page":"933-946","publisher":"Elsevier","title":"Ecological Risk Assessment for seabird interactions in Western and Central Pacific longline fisheries","type":"article-journal","volume":"36"},"uris":["http://www.mendeley.com/documents/?uuid=c466b1f0-c00a-4954-b46d-902bfd01c883"]},{"id":"ITEM-2","itemData":{"author":[{"dropping-particle":"","family":"Waugh","given":"Susan","non-dropping-particle":"","parse-names":false,"suffix":""},{"dropping-particle":"","family":"Filippi","given":"Dominique","non-dropping-particle":"","parse-names":false,"suffix":""},{"dropping-particle":"","family":"Walker","given":"Nathan","non-dropping-particle":"","parse-names":false,"suffix":""},{"dropping-particle":"","family":"Kirby","given":"David Séan","non-dropping-particle":"","parse-names":false,"suffix":""}],"id":"ITEM-2","issued":{"date-parts":[["2008"]]},"publisher-place":"Kolonia","title":"Preliminary results of an ecological risk assessment for New Zealand fisheries interactions with seabirds and marine mammals. WCPFC-SC4-200-EB-WP2","type":"report"},"uris":["http://www.mendeley.com/documents/?uuid=5391e20f-e4e2-4218-b347-c2dcfcfb0996"]},{"id":"ITEM-3","itemData":{"DOI":"10.1093/icesjms/fsr118","author":[{"dropping-particle":"","family":"Tuck","given":"G N","non-dropping-particle":"","parse-names":false,"suffix":""},{"dropping-particle":"","family":"Phillips","given":"R a","non-dropping-particle":"","parse-names":false,"suffix":""},{"dropping-particle":"","family":"Small","given":"C","non-dropping-particle":"","parse-names":false,"suffix":""},{"dropping-particle":"","family":"Thomson","given":"R B","non-dropping-particle":"","parse-names":false,"suffix":""},{"dropping-particle":"","family":"Klaer","given":"N L","non-dropping-particle":"","parse-names":false,"suffix":""},{"dropping-particle":"","family":"Taylor","given":"F","non-dropping-particle":"","parse-names":false,"suffix":""},{"dropping-particle":"","family":"Wanless","given":"R M","non-dropping-particle":"","parse-names":false,"suffix":""},{"dropping-particle":"","family":"Arrizabalaga","given":"H","non-dropping-particle":"","parse-names":false,"suffix":""}],"id":"ITEM-3","issued":{"date-parts":[["2011"]]},"page":"1628-1637","title":"An assessment of seabird – fishery interactions in the Atlantic Ocean","type":"article-journal","volume":"68"},"uris":["http://www.mendeley.com/documents/?uuid=0abbf42f-57b6-4a5d-a172-78315c817b4b"]},{"id":"ITEM-4","itemData":{"DOI":"10.1016/j.marpol.2014.09.009","ISSN":"0308-597X","author":[{"dropping-particle":"","family":"Brown","given":"Susie L","non-dropping-particle":"","parse-names":false,"suffix":""},{"dropping-particle":"","family":"Reid","given":"David","non-dropping-particle":"","parse-names":false,"suffix":""},{"dropping-particle":"","family":"Rogan","given":"Emer","non-dropping-particle":"","parse-names":false,"suffix":""}],"container-title":"Marine Policy","id":"ITEM-4","issued":{"date-parts":[["2015"]]},"page":"267-280","publisher":"Elsevier","title":"Spatial and temporal assessment of potential risk to cetaceans from static fishing gears","type":"article-journal","volume":"51"},"uris":["http://www.mendeley.com/documents/?uuid=4d7951e0-04cf-4f5f-945c-185f5afd0ae0"]},{"id":"ITEM-5","itemData":{"DOI":"10.1016/j.marpol.2012.05.001","ISSN":"0308597X","abstract":"Many marine species are threatened by high levels of incidental mortality in fisheries. This paper reviews the design of selected recent, detailed Ecological Risk Assessments (ERAs) of the effects of fishing on seabirds. Several aspects of ERA methodology for seabirds are still in development, including the most appropriate ways to: predict seabird distribution and fisheries overlap; handle data gaps; compare productivity and susceptibility among species; and incorporate data on bycatch. Nor is there consensus on rules for selecting species or populations for inclusion in assessments, the appropriate spatial and temporal resolution for the analyses, and the definition of risk. Despite these uncertainties, the clear benefits of undertaking quantitative or semi-quantitative ERAs include the identification of particularly vulnerable species or populations and of key areas and seasons in which bycatch may be occurring, and the highlighting of data gaps and priorities for future monitoring. ERAs are likely to be particularly effective where explicit links are established at the outset between the outcomes or conclusions of the ERA and management responses. A precautionary approach to bycatch mitigation can then be embedded in the broader fisheries management framework. However, this requires that the ERA process is not overly complex or is prolonged to the extent that it draws attention away from existing responsibilities and commitments to reduce bycatch per se. When selecting the best approach, it is vital to balance desired outputs against the availability of data for the assessment, and to deal with data gaps in a precautionary manner. © 2012 Elsevier Ltd.","author":[{"dropping-particle":"","family":"Small","given":"Cleo","non-dropping-particle":"","parse-names":false,"suffix":""},{"dropping-particle":"","family":"Waugh","given":"Susan M.","non-dropping-particle":"","parse-names":false,"suffix":""},{"dropping-particle":"","family":"Phillips","given":"Richard A.","non-dropping-particle":"","parse-names":false,"suffix":""}],"container-title":"Marine Policy","id":"ITEM-5","issue":"1","issued":{"date-parts":[["2013"]]},"page":"192-199","publisher":"Elsevier","title":"The justification, design and implementation of Ecological Risk Assessments of the effects of fishing on seabirds","type":"article-journal","volume":"37"},"uris":["http://www.mendeley.com/documents/?uuid=93845e4f-4dbb-409b-bb88-7088c5f303e7"]}],"mendeley":{"formattedCitation":"(Waugh &lt;i&gt;et al.&lt;/i&gt;, 2008, 2012; Tuck &lt;i&gt;et al.&lt;/i&gt;, 2011; Small &lt;i&gt;et al.&lt;/i&gt;, 2013; Brown &lt;i&gt;et al.&lt;/i&gt;, 2015)","manualFormatting":"(e.g. Waugh et al., 2008, 2012; Tuck et al., 2011; Small et al., 2013; Brown et al., 2015)","plainTextFormattedCitation":"(Waugh et al., 2008, 2012; Tuck et al., 2011; Small et al., 2013; Brown et al., 2015)","previouslyFormattedCitation":"(Waugh &lt;i&gt;et al.&lt;/i&gt;, 2008, 2012; Tuck &lt;i&gt;et al.&lt;/i&gt;, 2011; Small &lt;i&gt;et al.&lt;/i&gt;, 2013; Brown &lt;i&gt;et al.&lt;/i&gt;, 2015)"},"properties":{"noteIndex":0},"schema":"https://github.com/citation-style-language/schema/raw/master/csl-citation.json"}</w:instrText>
      </w:r>
      <w:r w:rsidR="00853608" w:rsidRPr="00A34CD9">
        <w:rPr>
          <w:rFonts w:cstheme="minorHAnsi"/>
          <w:lang w:val="en-GB"/>
        </w:rPr>
        <w:fldChar w:fldCharType="separate"/>
      </w:r>
      <w:r w:rsidR="00853608" w:rsidRPr="00A34CD9">
        <w:rPr>
          <w:rFonts w:cstheme="minorHAnsi"/>
          <w:noProof/>
          <w:lang w:val="en-GB"/>
        </w:rPr>
        <w:t>(</w:t>
      </w:r>
      <w:r w:rsidR="00853608" w:rsidRPr="00A34CD9">
        <w:rPr>
          <w:rFonts w:cstheme="minorHAnsi"/>
          <w:i/>
          <w:iCs/>
          <w:noProof/>
          <w:lang w:val="en-GB"/>
        </w:rPr>
        <w:t xml:space="preserve">e.g. </w:t>
      </w:r>
      <w:r w:rsidR="00853608" w:rsidRPr="00A34CD9">
        <w:rPr>
          <w:rFonts w:cstheme="minorHAnsi"/>
          <w:noProof/>
          <w:lang w:val="en-GB"/>
        </w:rPr>
        <w:t xml:space="preserve">Waugh </w:t>
      </w:r>
      <w:r w:rsidR="00853608" w:rsidRPr="00A34CD9">
        <w:rPr>
          <w:rFonts w:cstheme="minorHAnsi"/>
          <w:i/>
          <w:noProof/>
          <w:lang w:val="en-GB"/>
        </w:rPr>
        <w:t>et al.</w:t>
      </w:r>
      <w:r w:rsidR="00853608" w:rsidRPr="00A34CD9">
        <w:rPr>
          <w:rFonts w:cstheme="minorHAnsi"/>
          <w:noProof/>
          <w:lang w:val="en-GB"/>
        </w:rPr>
        <w:t xml:space="preserve">, 2008, 2012; Tuck </w:t>
      </w:r>
      <w:r w:rsidR="00853608" w:rsidRPr="00A34CD9">
        <w:rPr>
          <w:rFonts w:cstheme="minorHAnsi"/>
          <w:i/>
          <w:noProof/>
          <w:lang w:val="en-GB"/>
        </w:rPr>
        <w:t>et al.</w:t>
      </w:r>
      <w:r w:rsidR="00853608" w:rsidRPr="00A34CD9">
        <w:rPr>
          <w:rFonts w:cstheme="minorHAnsi"/>
          <w:noProof/>
          <w:lang w:val="en-GB"/>
        </w:rPr>
        <w:t xml:space="preserve">, 2011; Small </w:t>
      </w:r>
      <w:r w:rsidR="00853608" w:rsidRPr="00A34CD9">
        <w:rPr>
          <w:rFonts w:cstheme="minorHAnsi"/>
          <w:i/>
          <w:noProof/>
          <w:lang w:val="en-GB"/>
        </w:rPr>
        <w:t>et al.</w:t>
      </w:r>
      <w:r w:rsidR="00853608" w:rsidRPr="00A34CD9">
        <w:rPr>
          <w:rFonts w:cstheme="minorHAnsi"/>
          <w:noProof/>
          <w:lang w:val="en-GB"/>
        </w:rPr>
        <w:t xml:space="preserve">, 2013; Brown </w:t>
      </w:r>
      <w:r w:rsidR="00853608" w:rsidRPr="00A34CD9">
        <w:rPr>
          <w:rFonts w:cstheme="minorHAnsi"/>
          <w:i/>
          <w:noProof/>
          <w:lang w:val="en-GB"/>
        </w:rPr>
        <w:t>et al.</w:t>
      </w:r>
      <w:r w:rsidR="00853608" w:rsidRPr="00A34CD9">
        <w:rPr>
          <w:rFonts w:cstheme="minorHAnsi"/>
          <w:noProof/>
          <w:lang w:val="en-GB"/>
        </w:rPr>
        <w:t>, 2015)</w:t>
      </w:r>
      <w:r w:rsidR="00853608" w:rsidRPr="00A34CD9">
        <w:rPr>
          <w:rFonts w:cstheme="minorHAnsi"/>
          <w:lang w:val="en-GB"/>
        </w:rPr>
        <w:fldChar w:fldCharType="end"/>
      </w:r>
      <w:r w:rsidR="00853608" w:rsidRPr="00A34CD9">
        <w:rPr>
          <w:rFonts w:cstheme="minorHAnsi"/>
          <w:lang w:val="en-GB"/>
        </w:rPr>
        <w:t xml:space="preserve"> </w:t>
      </w:r>
      <w:r w:rsidR="001467AF" w:rsidRPr="00A34CD9">
        <w:rPr>
          <w:rFonts w:cstheme="minorHAnsi"/>
          <w:lang w:val="en-GB"/>
        </w:rPr>
        <w:t xml:space="preserve">based on </w:t>
      </w:r>
      <w:r w:rsidR="00F55072" w:rsidRPr="00A34CD9">
        <w:rPr>
          <w:rFonts w:cstheme="minorHAnsi"/>
          <w:lang w:val="en-GB"/>
        </w:rPr>
        <w:t>the Ecological Risk Assessment for the Effects of Fishing (ERAEF)</w:t>
      </w:r>
      <w:r w:rsidR="001467AF" w:rsidRPr="00A34CD9">
        <w:rPr>
          <w:rFonts w:cstheme="minorHAnsi"/>
          <w:lang w:val="en-GB"/>
        </w:rPr>
        <w:t xml:space="preserve"> originally developed to assess the impact of fisheries in Australia </w:t>
      </w:r>
      <w:r w:rsidR="001467AF" w:rsidRPr="00A34CD9">
        <w:rPr>
          <w:rFonts w:cstheme="minorHAnsi"/>
          <w:lang w:val="en-GB"/>
        </w:rPr>
        <w:fldChar w:fldCharType="begin" w:fldLock="1"/>
      </w:r>
      <w:r w:rsidR="001426C7" w:rsidRPr="00A34CD9">
        <w:rPr>
          <w:rFonts w:cstheme="minorHAnsi"/>
          <w:lang w:val="en-GB"/>
        </w:rPr>
        <w:instrText>ADDIN CSL_CITATION {"citationItems":[{"id":"ITEM-1","itemData":{"author":[{"dropping-particle":"","family":"Hobday","given":"A. J.","non-dropping-particle":"","parse-names":false,"suffix":""},{"dropping-particle":"","family":"Smith","given":"A.","non-dropping-particle":"","parse-names":false,"suffix":""},{"dropping-particle":"","family":"Webb","given":"H.","non-dropping-particle":"","parse-names":false,"suffix":""},{"dropping-particle":"","family":"Daley","given":"R.","non-dropping-particle":"","parse-names":false,"suffix":""},{"dropping-particle":"","family":"Wayte","given":"S.","non-dropping-particle":"","parse-names":false,"suffix":""},{"dropping-particle":"","family":"Bulman","given":"C.","non-dropping-particle":"","parse-names":false,"suffix":""},{"dropping-particle":"","family":"Dowdney","given":"J.","non-dropping-particle":"","parse-names":false,"suffix":""},{"dropping-particle":"","family":"Williams","given":"A.","non-dropping-particle":"","parse-names":false,"suffix":""},{"dropping-particle":"","family":"Sporcic","given":"M.","non-dropping-particle":"","parse-names":false,"suffix":""},{"dropping-particle":"","family":"Dambacher","given":"J.","non-dropping-particle":"","parse-names":false,"suffix":""},{"dropping-particle":"","family":"Fuller","given":"M.","non-dropping-particle":"","parse-names":false,"suffix":""},{"dropping-particle":"","family":"Walker","given":"T.","non-dropping-particle":"","parse-names":false,"suffix":""}],"id":"ITEM-1","issued":{"date-parts":[["2007"]]},"title":"Ecological Risk Assessment for the Effects of Fishing: Methodology. Report R04/1072 for the Australian Fisheries Management Authority, Canberra.","type":"report"},"uris":["http://www.mendeley.com/documents/?uuid=33e1b2c6-3f95-4191-adf6-db10b8cae5d4"]}],"mendeley":{"formattedCitation":"(Hobday &lt;i&gt;et al.&lt;/i&gt;, 2007)","plainTextFormattedCitation":"(Hobday et al., 2007)","previouslyFormattedCitation":"(Hobday &lt;i&gt;et al.&lt;/i&gt;, 2007)"},"properties":{"noteIndex":0},"schema":"https://github.com/citation-style-language/schema/raw/master/csl-citation.json"}</w:instrText>
      </w:r>
      <w:r w:rsidR="001467AF" w:rsidRPr="00A34CD9">
        <w:rPr>
          <w:rFonts w:cstheme="minorHAnsi"/>
          <w:lang w:val="en-GB"/>
        </w:rPr>
        <w:fldChar w:fldCharType="separate"/>
      </w:r>
      <w:r w:rsidR="001467AF" w:rsidRPr="00A34CD9">
        <w:rPr>
          <w:rFonts w:cstheme="minorHAnsi"/>
          <w:noProof/>
          <w:lang w:val="en-GB"/>
        </w:rPr>
        <w:t xml:space="preserve">(Hobday </w:t>
      </w:r>
      <w:r w:rsidR="001467AF" w:rsidRPr="00A34CD9">
        <w:rPr>
          <w:rFonts w:cstheme="minorHAnsi"/>
          <w:i/>
          <w:noProof/>
          <w:lang w:val="en-GB"/>
        </w:rPr>
        <w:t>et al.</w:t>
      </w:r>
      <w:r w:rsidR="001467AF" w:rsidRPr="00A34CD9">
        <w:rPr>
          <w:rFonts w:cstheme="minorHAnsi"/>
          <w:noProof/>
          <w:lang w:val="en-GB"/>
        </w:rPr>
        <w:t>, 2007)</w:t>
      </w:r>
      <w:r w:rsidR="001467AF" w:rsidRPr="00A34CD9">
        <w:rPr>
          <w:rFonts w:cstheme="minorHAnsi"/>
          <w:lang w:val="en-GB"/>
        </w:rPr>
        <w:fldChar w:fldCharType="end"/>
      </w:r>
      <w:r w:rsidR="001467AF" w:rsidRPr="00A34CD9">
        <w:rPr>
          <w:rFonts w:cstheme="minorHAnsi"/>
          <w:lang w:val="en-GB"/>
        </w:rPr>
        <w:t xml:space="preserve">. </w:t>
      </w:r>
      <w:r w:rsidR="001A7E0D" w:rsidRPr="00A34CD9">
        <w:rPr>
          <w:rFonts w:cstheme="minorHAnsi"/>
          <w:lang w:val="en-GB"/>
        </w:rPr>
        <w:t>T</w:t>
      </w:r>
      <w:r w:rsidR="00994522" w:rsidRPr="00A34CD9">
        <w:rPr>
          <w:rFonts w:cstheme="minorHAnsi"/>
          <w:lang w:val="en-GB"/>
        </w:rPr>
        <w:t xml:space="preserve">his </w:t>
      </w:r>
      <w:r w:rsidR="00F55072" w:rsidRPr="00A34CD9">
        <w:rPr>
          <w:rFonts w:cstheme="minorHAnsi"/>
          <w:lang w:val="en-GB"/>
        </w:rPr>
        <w:t xml:space="preserve">hierarchical procedure </w:t>
      </w:r>
      <w:r w:rsidR="00994522" w:rsidRPr="00A34CD9">
        <w:rPr>
          <w:rFonts w:cstheme="minorHAnsi"/>
          <w:lang w:val="en-GB"/>
        </w:rPr>
        <w:t xml:space="preserve">are increasingly used </w:t>
      </w:r>
      <w:r w:rsidR="00F55072" w:rsidRPr="00A34CD9">
        <w:rPr>
          <w:rFonts w:cstheme="minorHAnsi"/>
          <w:lang w:val="en-GB"/>
        </w:rPr>
        <w:t xml:space="preserve">to screen the potential risk posed by fishing </w:t>
      </w:r>
      <w:r w:rsidR="00994522" w:rsidRPr="00A34CD9">
        <w:rPr>
          <w:rFonts w:cstheme="minorHAnsi"/>
          <w:lang w:val="en-GB"/>
        </w:rPr>
        <w:t>bycatch</w:t>
      </w:r>
      <w:r w:rsidR="00F55072" w:rsidRPr="00A34CD9">
        <w:rPr>
          <w:rFonts w:cstheme="minorHAnsi"/>
          <w:lang w:val="en-GB"/>
        </w:rPr>
        <w:t xml:space="preserve"> to </w:t>
      </w:r>
      <w:r w:rsidR="0008299E" w:rsidRPr="00A34CD9">
        <w:rPr>
          <w:rFonts w:cstheme="minorHAnsi"/>
          <w:lang w:val="en-GB"/>
        </w:rPr>
        <w:t xml:space="preserve">PETs </w:t>
      </w:r>
      <w:r w:rsidR="007B210E" w:rsidRPr="00A34CD9">
        <w:rPr>
          <w:rFonts w:cstheme="minorHAnsi"/>
          <w:lang w:val="en-GB"/>
        </w:rPr>
        <w:t>enabling</w:t>
      </w:r>
      <w:r w:rsidR="00F55072" w:rsidRPr="00A34CD9">
        <w:rPr>
          <w:rFonts w:cstheme="minorHAnsi"/>
          <w:lang w:val="en-GB"/>
        </w:rPr>
        <w:t xml:space="preserve"> the impact of fishing on the species to be documented in a systematic, transparent and repeatable way, facilitating management and mitigation</w:t>
      </w:r>
      <w:r w:rsidR="00506970" w:rsidRPr="00A34CD9">
        <w:rPr>
          <w:rFonts w:cstheme="minorHAnsi"/>
          <w:lang w:val="en-GB"/>
        </w:rPr>
        <w:t xml:space="preserve"> </w:t>
      </w:r>
      <w:r w:rsidR="00506970" w:rsidRPr="00A34CD9">
        <w:rPr>
          <w:rFonts w:cstheme="minorHAnsi"/>
          <w:lang w:val="en-GB"/>
        </w:rPr>
        <w:fldChar w:fldCharType="begin" w:fldLock="1"/>
      </w:r>
      <w:r w:rsidR="0005371B" w:rsidRPr="00A34CD9">
        <w:rPr>
          <w:rFonts w:cstheme="minorHAnsi"/>
          <w:lang w:val="en-GB"/>
        </w:rPr>
        <w:instrText>ADDIN CSL_CITATION {"citationItems":[{"id":"ITEM-1","itemData":{"DOI":"10.1017/S0376892901000170","ISSN":"1469-4387","abstract":"In tropical prawn (shrimp) trawl fisheries it is daunting to assess the sustainability of bycatch species because they are diverse and there is little historical and biological information for quantitative stock assessments. We developed a process to examine the likely impact of prawn trawling on the sustainability of bycatch species and applied this to fish bycatch in the Australian Northern Prawn Fishery. The 411 fish bycatch species were ranked with respect to biological and ecological criteria that contributed to two overriding characteristics, namely first, their susceptibility to capture and mortality due to prawn trawling, and second the population's capacity to recover after depletion. The rank of each species on these two characteristics determined its relative capacity to sustain trawling, and therefore its priority for research and management. Species that were the least likely to be sustainable came from the families Apogonidae, Ariidae, Bathysauridae, Callionymidae, Congridae, Diodontidae, Labridae, Opisthognathidae, Plotosidae, Synodontidae and Tetraodontidae. These species are highly susceptible to capture by trawls, they are benthic or demersal, their primary habitat is soft sediments, and their diet may include prawns. The recovery capacity of these species is also low, with the estimated removal rate by trawling high. The species that were the most likely to be sustainable came from the families Carangidae, Clupeidae, Ephippidae, Scombridae, Sphyraenidae and Terapontidae. They are less susceptible to capture by trawls, they are generally pelagic, their primary habitat is not in trawl grounds, and they have a broad depth distribution and range in the fishery. These species also have a greater capacity to recover, as most individuals have bred before capture, and a low estimated removal rate by trawling. The final ranking of the species must be used with caution because of the assumptions made in the process. However, the process is a valuable first step towards ensuring the sustainability of the bycatch species. Because of the simplicity of the process, it can be readily used in fisheries, particularly those with diverse bycatch, to manage the sustainability of their bycatch.","author":[{"dropping-particle":"","family":"Stobutzki","given":"I.","non-dropping-particle":"","parse-names":false,"suffix":""},{"dropping-particle":"","family":"Miller","given":"M.","non-dropping-particle":"","parse-names":false,"suffix":""},{"dropping-particle":"","family":"Brewer","given":"D.","non-dropping-particle":"","parse-names":false,"suffix":""}],"container-title":"Environmental Conservation","id":"ITEM-1","issue":"2","issued":{"date-parts":[["2001"]]},"page":"167-181","publisher":"Cambridge University Press","title":"Sustainability of fishery bycatch: a process for assessing highly diverse and numerous bycatch","type":"article-journal","volume":"28"},"uris":["http://www.mendeley.com/documents/?uuid=e9bee17b-8c11-3857-92b7-18625664f492"]}],"mendeley":{"formattedCitation":"(Stobutzki &lt;i&gt;et al.&lt;/i&gt;, 2001)","plainTextFormattedCitation":"(Stobutzki et al., 2001)","previouslyFormattedCitation":"(Stobutzki &lt;i&gt;et al.&lt;/i&gt;, 2001)"},"properties":{"noteIndex":0},"schema":"https://github.com/citation-style-language/schema/raw/master/csl-citation.json"}</w:instrText>
      </w:r>
      <w:r w:rsidR="00506970" w:rsidRPr="00A34CD9">
        <w:rPr>
          <w:rFonts w:cstheme="minorHAnsi"/>
          <w:lang w:val="en-GB"/>
        </w:rPr>
        <w:fldChar w:fldCharType="separate"/>
      </w:r>
      <w:r w:rsidR="00506970" w:rsidRPr="00A34CD9">
        <w:rPr>
          <w:rFonts w:cstheme="minorHAnsi"/>
          <w:noProof/>
          <w:lang w:val="en-GB"/>
        </w:rPr>
        <w:t xml:space="preserve">(Stobutzki </w:t>
      </w:r>
      <w:r w:rsidR="00506970" w:rsidRPr="00A34CD9">
        <w:rPr>
          <w:rFonts w:cstheme="minorHAnsi"/>
          <w:i/>
          <w:noProof/>
          <w:lang w:val="en-GB"/>
        </w:rPr>
        <w:t>et al.</w:t>
      </w:r>
      <w:r w:rsidR="00506970" w:rsidRPr="00A34CD9">
        <w:rPr>
          <w:rFonts w:cstheme="minorHAnsi"/>
          <w:noProof/>
          <w:lang w:val="en-GB"/>
        </w:rPr>
        <w:t>, 2001)</w:t>
      </w:r>
      <w:r w:rsidR="00506970" w:rsidRPr="00A34CD9">
        <w:rPr>
          <w:rFonts w:cstheme="minorHAnsi"/>
          <w:lang w:val="en-GB"/>
        </w:rPr>
        <w:fldChar w:fldCharType="end"/>
      </w:r>
      <w:r w:rsidR="00F55072" w:rsidRPr="00A34CD9">
        <w:rPr>
          <w:rFonts w:cstheme="minorHAnsi"/>
          <w:lang w:val="en-GB"/>
        </w:rPr>
        <w:t>.</w:t>
      </w:r>
      <w:r w:rsidR="007B210E" w:rsidRPr="00A34CD9">
        <w:rPr>
          <w:rFonts w:cstheme="minorHAnsi"/>
          <w:lang w:val="en-GB"/>
        </w:rPr>
        <w:t xml:space="preserve"> </w:t>
      </w:r>
      <w:r w:rsidR="001A7E0D" w:rsidRPr="00A34CD9">
        <w:rPr>
          <w:rFonts w:cstheme="minorHAnsi"/>
          <w:lang w:val="en-GB"/>
        </w:rPr>
        <w:t xml:space="preserve">To perform a spatially and temporally ERAEF </w:t>
      </w:r>
      <w:r w:rsidR="00B32F08" w:rsidRPr="00A34CD9">
        <w:rPr>
          <w:rFonts w:cstheme="minorHAnsi"/>
          <w:lang w:val="en-GB"/>
        </w:rPr>
        <w:t xml:space="preserve">it is necessary to cross-reference information at </w:t>
      </w:r>
      <w:r w:rsidR="00995BE9" w:rsidRPr="00A34CD9">
        <w:rPr>
          <w:rFonts w:cstheme="minorHAnsi"/>
          <w:lang w:val="en-GB"/>
        </w:rPr>
        <w:t xml:space="preserve">both </w:t>
      </w:r>
      <w:r w:rsidR="00F62DF6" w:rsidRPr="00A34CD9">
        <w:rPr>
          <w:rFonts w:cstheme="minorHAnsi"/>
          <w:lang w:val="en-GB"/>
        </w:rPr>
        <w:t>fishery</w:t>
      </w:r>
      <w:r w:rsidR="00995BE9" w:rsidRPr="00A34CD9">
        <w:rPr>
          <w:rFonts w:cstheme="minorHAnsi"/>
          <w:lang w:val="en-GB"/>
        </w:rPr>
        <w:t xml:space="preserve"> and species </w:t>
      </w:r>
      <w:r w:rsidR="003E21A7" w:rsidRPr="00A34CD9">
        <w:rPr>
          <w:rFonts w:cstheme="minorHAnsi"/>
          <w:lang w:val="en-GB"/>
        </w:rPr>
        <w:t xml:space="preserve">level </w:t>
      </w:r>
      <w:r w:rsidR="00B32F08" w:rsidRPr="00A34CD9">
        <w:rPr>
          <w:rFonts w:cstheme="minorHAnsi"/>
          <w:lang w:val="en-GB"/>
        </w:rPr>
        <w:t>to assess</w:t>
      </w:r>
      <w:r w:rsidR="00C52D57" w:rsidRPr="00A34CD9">
        <w:rPr>
          <w:rFonts w:cstheme="minorHAnsi"/>
          <w:lang w:val="en-GB"/>
        </w:rPr>
        <w:t xml:space="preserve"> and map</w:t>
      </w:r>
      <w:r w:rsidR="00B32F08" w:rsidRPr="00A34CD9">
        <w:rPr>
          <w:rFonts w:cstheme="minorHAnsi"/>
          <w:lang w:val="en-GB"/>
        </w:rPr>
        <w:t xml:space="preserve"> </w:t>
      </w:r>
      <w:r w:rsidR="001A7E0D" w:rsidRPr="00A34CD9">
        <w:rPr>
          <w:rFonts w:cstheme="minorHAnsi"/>
          <w:lang w:val="en-GB"/>
        </w:rPr>
        <w:t xml:space="preserve">the fisheries potential risk and </w:t>
      </w:r>
      <w:r w:rsidR="00B32F08" w:rsidRPr="00A34CD9">
        <w:rPr>
          <w:rFonts w:cstheme="minorHAnsi"/>
          <w:lang w:val="en-GB"/>
        </w:rPr>
        <w:t>identify</w:t>
      </w:r>
      <w:r w:rsidR="000C3344" w:rsidRPr="00A34CD9">
        <w:rPr>
          <w:rFonts w:cstheme="minorHAnsi"/>
          <w:lang w:val="en-GB"/>
        </w:rPr>
        <w:t>ing</w:t>
      </w:r>
      <w:r w:rsidR="00B32F08" w:rsidRPr="00A34CD9">
        <w:rPr>
          <w:rFonts w:cstheme="minorHAnsi"/>
          <w:lang w:val="en-GB"/>
        </w:rPr>
        <w:t xml:space="preserve"> areas of </w:t>
      </w:r>
      <w:r w:rsidR="00F3520C" w:rsidRPr="00A34CD9">
        <w:rPr>
          <w:rFonts w:cstheme="minorHAnsi"/>
          <w:lang w:val="en-GB"/>
        </w:rPr>
        <w:t xml:space="preserve">potential interaction </w:t>
      </w:r>
      <w:r w:rsidR="00B32F08" w:rsidRPr="00A34CD9">
        <w:rPr>
          <w:rFonts w:cstheme="minorHAnsi"/>
          <w:lang w:val="en-GB"/>
        </w:rPr>
        <w:t xml:space="preserve">from a spatially explicit perspective </w:t>
      </w:r>
      <w:r w:rsidR="00B32F08" w:rsidRPr="00A34CD9">
        <w:rPr>
          <w:rFonts w:cstheme="minorHAnsi"/>
          <w:lang w:val="en-GB"/>
        </w:rPr>
        <w:fldChar w:fldCharType="begin" w:fldLock="1"/>
      </w:r>
      <w:r w:rsidR="00133476" w:rsidRPr="00A34CD9">
        <w:rPr>
          <w:rFonts w:cstheme="minorHAnsi"/>
          <w:lang w:val="en-GB"/>
        </w:rPr>
        <w:instrText>ADDIN CSL_CITATION {"citationItems":[{"id":"ITEM-1","itemData":{"DOI":"10.1093/icesjms/fsy038","ISSN":"10959289","abstract":"Seabirds and fisheries have been interacting from ancient times, sometimes with mutual benefits: Seabirds provided fishermen with visual cues of fish aggregations, and also fed upon food subsids generated by fishing activities. Yet fisheries and seabirds may also compete for the same resources, and their interactions can lead to additional seabird mortality through accidental bycatch and diminishing fishing efficiency, threatening vulnerable seabird populations. Understanding these complex relationships is essential for conservation strategies, also because it could enhance and ease discussion between stakeholders, towards a common vision for marine ecosystem management. As an aid in this process, we reviewed 510 scientific publications dedicated to seabirds-fisheries interactions, and compiled a methodological toolkit. Methods employed therein serve four main purposes: (i) Implementing distribution overlap analyses, to highlight areas of encounter between seabirds and fisheries (ii) Analysing movement and behavioural patterns using finer-scale information, to characterize interaction types (iii) Investigating individual-scale feeding ecology, to assess fisheries impacts at the scale of bird populations, and (iv) Quantifying the impacts of seabird-fishery interactions on seabird demography and population trends. This latter step allows determining thresholds and tipping points with respect to ecological sustainability. Overall, we stress that forthcoming studies should integrate those multiple approaches, in order to identify and promote best practices towards ecosystem-based fisheries management and ecologically sound marine spatial planning.","author":[{"dropping-particle":"","family":"Bot","given":"Tangi","non-dropping-particle":"Le","parse-names":false,"suffix":""},{"dropping-particle":"","family":"Lescroël","given":"Amélie","non-dropping-particle":"","parse-names":false,"suffix":""},{"dropping-particle":"","family":"Grémillet","given":"David","non-dropping-particle":"","parse-names":false,"suffix":""}],"container-title":"ICES Journal of Marine Science","id":"ITEM-1","issue":"5","issued":{"date-parts":[["2018","10","1"]]},"page":"1513-1525","publisher":"Oxford University Press","title":"A toolkit to study seabird-fishery interactions","type":"article-journal","volume":"75"},"uris":["http://www.mendeley.com/documents/?uuid=39644d3a-75a6-3861-9321-4c076b146bcb"]}],"mendeley":{"formattedCitation":"(Le Bot &lt;i&gt;et al.&lt;/i&gt;, 2018)","plainTextFormattedCitation":"(Le Bot et al., 2018)","previouslyFormattedCitation":"(Le Bot &lt;i&gt;et al.&lt;/i&gt;, 2018)"},"properties":{"noteIndex":0},"schema":"https://github.com/citation-style-language/schema/raw/master/csl-citation.json"}</w:instrText>
      </w:r>
      <w:r w:rsidR="00B32F08" w:rsidRPr="00A34CD9">
        <w:rPr>
          <w:rFonts w:cstheme="minorHAnsi"/>
          <w:lang w:val="en-GB"/>
        </w:rPr>
        <w:fldChar w:fldCharType="separate"/>
      </w:r>
      <w:r w:rsidR="003600F9" w:rsidRPr="00A34CD9">
        <w:rPr>
          <w:rFonts w:cstheme="minorHAnsi"/>
          <w:noProof/>
          <w:lang w:val="en-GB"/>
        </w:rPr>
        <w:t xml:space="preserve">(Le Bot </w:t>
      </w:r>
      <w:r w:rsidR="003600F9" w:rsidRPr="00A34CD9">
        <w:rPr>
          <w:rFonts w:cstheme="minorHAnsi"/>
          <w:i/>
          <w:noProof/>
          <w:lang w:val="en-GB"/>
        </w:rPr>
        <w:t>et al.</w:t>
      </w:r>
      <w:r w:rsidR="003600F9" w:rsidRPr="00A34CD9">
        <w:rPr>
          <w:rFonts w:cstheme="minorHAnsi"/>
          <w:noProof/>
          <w:lang w:val="en-GB"/>
        </w:rPr>
        <w:t>, 2018)</w:t>
      </w:r>
      <w:r w:rsidR="00B32F08" w:rsidRPr="00A34CD9">
        <w:rPr>
          <w:rFonts w:cstheme="minorHAnsi"/>
          <w:lang w:val="en-GB"/>
        </w:rPr>
        <w:fldChar w:fldCharType="end"/>
      </w:r>
      <w:r w:rsidR="00B32F08" w:rsidRPr="00A34CD9">
        <w:rPr>
          <w:rFonts w:cstheme="minorHAnsi"/>
          <w:lang w:val="en-GB"/>
        </w:rPr>
        <w:t>.</w:t>
      </w:r>
    </w:p>
    <w:bookmarkEnd w:id="14"/>
    <w:p w14:paraId="512CD51B" w14:textId="67544A5F" w:rsidR="00F81FAF" w:rsidRPr="00A34CD9" w:rsidRDefault="00762967" w:rsidP="002A528E">
      <w:pPr>
        <w:suppressLineNumbers/>
        <w:spacing w:line="480" w:lineRule="auto"/>
        <w:jc w:val="both"/>
        <w:rPr>
          <w:rFonts w:cstheme="minorHAnsi"/>
          <w:lang w:val="en-GB"/>
        </w:rPr>
      </w:pPr>
      <w:r w:rsidRPr="00A34CD9">
        <w:rPr>
          <w:rFonts w:cstheme="minorHAnsi"/>
          <w:lang w:val="en-GB"/>
        </w:rPr>
        <w:t>Within this context, the northern Spanish artisanal tuna fishery operating in the Bay of Biscay</w:t>
      </w:r>
      <w:r w:rsidR="00912B2F" w:rsidRPr="00A34CD9">
        <w:rPr>
          <w:rFonts w:cstheme="minorHAnsi"/>
          <w:lang w:val="en-GB"/>
        </w:rPr>
        <w:t xml:space="preserve"> (hereafter</w:t>
      </w:r>
      <w:r w:rsidR="003C2727" w:rsidRPr="00A34CD9">
        <w:rPr>
          <w:rFonts w:cstheme="minorHAnsi"/>
          <w:lang w:val="en-GB"/>
        </w:rPr>
        <w:t xml:space="preserve">, </w:t>
      </w:r>
      <w:proofErr w:type="spellStart"/>
      <w:r w:rsidR="003C2727" w:rsidRPr="00A34CD9">
        <w:rPr>
          <w:rFonts w:cstheme="minorHAnsi"/>
          <w:lang w:val="en-GB"/>
        </w:rPr>
        <w:t>BoB</w:t>
      </w:r>
      <w:proofErr w:type="spellEnd"/>
      <w:r w:rsidR="00912B2F" w:rsidRPr="00A34CD9">
        <w:rPr>
          <w:rFonts w:cstheme="minorHAnsi"/>
          <w:lang w:val="en-GB"/>
        </w:rPr>
        <w:t>)</w:t>
      </w:r>
      <w:r w:rsidRPr="00A34CD9">
        <w:rPr>
          <w:rFonts w:cstheme="minorHAnsi"/>
          <w:lang w:val="en-GB"/>
        </w:rPr>
        <w:t xml:space="preserve"> targeting the albacore</w:t>
      </w:r>
      <w:r w:rsidR="00A90B56" w:rsidRPr="00A34CD9">
        <w:rPr>
          <w:rFonts w:cstheme="minorHAnsi"/>
          <w:lang w:val="en-GB"/>
        </w:rPr>
        <w:t xml:space="preserve"> tuna</w:t>
      </w:r>
      <w:r w:rsidRPr="00A34CD9">
        <w:rPr>
          <w:rFonts w:cstheme="minorHAnsi"/>
          <w:lang w:val="en-GB"/>
        </w:rPr>
        <w:t xml:space="preserve"> (</w:t>
      </w:r>
      <w:r w:rsidRPr="00A34CD9">
        <w:rPr>
          <w:rFonts w:cstheme="minorHAnsi"/>
          <w:i/>
          <w:iCs/>
          <w:lang w:val="en-GB"/>
        </w:rPr>
        <w:t>Thunnus alalunga</w:t>
      </w:r>
      <w:r w:rsidRPr="00A34CD9">
        <w:rPr>
          <w:rFonts w:cstheme="minorHAnsi"/>
          <w:lang w:val="en-GB"/>
        </w:rPr>
        <w:t xml:space="preserve">) </w:t>
      </w:r>
      <w:r w:rsidR="00A90B56" w:rsidRPr="00A34CD9">
        <w:rPr>
          <w:rFonts w:cstheme="minorHAnsi"/>
          <w:lang w:val="en-GB"/>
        </w:rPr>
        <w:t>and secondarily</w:t>
      </w:r>
      <w:r w:rsidR="00D66FF0" w:rsidRPr="00A34CD9">
        <w:rPr>
          <w:rFonts w:cstheme="minorHAnsi"/>
          <w:lang w:val="en-GB"/>
        </w:rPr>
        <w:t xml:space="preserve"> the</w:t>
      </w:r>
      <w:r w:rsidRPr="00A34CD9">
        <w:rPr>
          <w:rFonts w:cstheme="minorHAnsi"/>
          <w:lang w:val="en-GB"/>
        </w:rPr>
        <w:t xml:space="preserve"> bluefin tuna (</w:t>
      </w:r>
      <w:r w:rsidRPr="00A34CD9">
        <w:rPr>
          <w:rFonts w:cstheme="minorHAnsi"/>
          <w:i/>
          <w:iCs/>
          <w:lang w:val="en-GB"/>
        </w:rPr>
        <w:t xml:space="preserve">Thunnus </w:t>
      </w:r>
      <w:proofErr w:type="spellStart"/>
      <w:r w:rsidRPr="00A34CD9">
        <w:rPr>
          <w:rFonts w:cstheme="minorHAnsi"/>
          <w:i/>
          <w:iCs/>
          <w:lang w:val="en-GB"/>
        </w:rPr>
        <w:t>thynus</w:t>
      </w:r>
      <w:proofErr w:type="spellEnd"/>
      <w:r w:rsidRPr="00A34CD9">
        <w:rPr>
          <w:rFonts w:cstheme="minorHAnsi"/>
          <w:lang w:val="en-GB"/>
        </w:rPr>
        <w:t>)</w:t>
      </w:r>
      <w:r w:rsidR="000F1F42" w:rsidRPr="00A34CD9">
        <w:rPr>
          <w:rFonts w:cstheme="minorHAnsi"/>
          <w:lang w:val="en-GB"/>
        </w:rPr>
        <w:t xml:space="preserve"> is analysed in this study</w:t>
      </w:r>
      <w:r w:rsidRPr="00A34CD9">
        <w:rPr>
          <w:rFonts w:cstheme="minorHAnsi"/>
          <w:lang w:val="en-GB"/>
        </w:rPr>
        <w:t xml:space="preserve">. </w:t>
      </w:r>
      <w:bookmarkStart w:id="15" w:name="_Hlk101201332"/>
      <w:r w:rsidRPr="00A34CD9">
        <w:rPr>
          <w:rFonts w:cstheme="minorHAnsi"/>
          <w:lang w:val="en-GB"/>
        </w:rPr>
        <w:t xml:space="preserve">Both </w:t>
      </w:r>
      <w:r w:rsidR="000A7A51">
        <w:rPr>
          <w:rFonts w:cstheme="minorHAnsi"/>
          <w:lang w:val="en-GB"/>
        </w:rPr>
        <w:t xml:space="preserve">target </w:t>
      </w:r>
      <w:r w:rsidRPr="00A34CD9">
        <w:rPr>
          <w:rFonts w:cstheme="minorHAnsi"/>
          <w:lang w:val="en-GB"/>
        </w:rPr>
        <w:t xml:space="preserve">species perform large scale feeding migrations during the summer to the </w:t>
      </w:r>
      <w:proofErr w:type="spellStart"/>
      <w:r w:rsidR="00912B2F" w:rsidRPr="00A34CD9">
        <w:rPr>
          <w:rFonts w:cstheme="minorHAnsi"/>
          <w:lang w:val="en-GB"/>
        </w:rPr>
        <w:t>BoB</w:t>
      </w:r>
      <w:proofErr w:type="spellEnd"/>
      <w:r w:rsidRPr="00A34CD9">
        <w:rPr>
          <w:rFonts w:cstheme="minorHAnsi"/>
          <w:lang w:val="en-GB"/>
        </w:rPr>
        <w:t xml:space="preserve"> and surrounding waters </w:t>
      </w:r>
      <w:r w:rsidRPr="00A34CD9">
        <w:rPr>
          <w:rFonts w:cstheme="minorHAnsi"/>
          <w:lang w:val="en-GB"/>
        </w:rPr>
        <w:fldChar w:fldCharType="begin" w:fldLock="1"/>
      </w:r>
      <w:r w:rsidR="005070F6" w:rsidRPr="00A34CD9">
        <w:rPr>
          <w:rFonts w:cstheme="minorHAnsi"/>
          <w:lang w:val="en-GB"/>
        </w:rPr>
        <w:instrText>ADDIN CSL_CITATION {"citationItems":[{"id":"ITEM-1","itemData":{"DOI":"10.1016/j.pocean.2010.04.007","ISSN":"00796611","abstract":"North Atlantic albacore and eastern Atlantic bluefin tunas perform feeding migrations to productive areas of the northeast Atlantic Ocean during the summer. Climate change is likely to influence the timing and even the spatial distribution of albacore and bluefin tunas during this event. Thus, tuna catches during their feeding migration to the Bay of Biscay have been analyzed from 1967 to 2005 for albacore tuna and from 1981 to 2005 for bluefin tuna. The results indicate that tuna arrive now earlier to the Bay of Biscay, with albacore tuna arriving about 8 days earlier than 40 years ago and bluefin tuna arriving 14 days earlier than 25 years ago. This represents a rate of change of 2 and 5.6 days per decade, respectively. Besides, albacore tuna mean catch latitude showed an increasing trend over time. Statistical analyses provided the first evidence of the North Atlantic regime shift, as well as climate variability, influencing changes in migration phenology and spatial distribution of albacore and bluefin tunas. © 2010 Elsevier Ltd.","author":[{"dropping-particle":"","family":"Dufour","given":"Florence","non-dropping-particle":"","parse-names":false,"suffix":""},{"dropping-particle":"","family":"Arrizabalaga","given":"Haritz","non-dropping-particle":"","parse-names":false,"suffix":""},{"dropping-particle":"","family":"Irigoien","given":"Xabier","non-dropping-particle":"","parse-names":false,"suffix":""},{"dropping-particle":"","family":"Santiago","given":"Josu","non-dropping-particle":"","parse-names":false,"suffix":""}],"container-title":"Progress in Oceanography","id":"ITEM-1","issue":"1-2","issued":{"date-parts":[["2010"]]},"page":"283-290","publisher":"Elsevier Ltd","title":"Climate impacts on albacore and bluefin tunas migrations phenology and spatial distribution","type":"article-journal","volume":"86"},"uris":["http://www.mendeley.com/documents/?uuid=8cb8963d-6826-4893-8a71-d34725dcb91d"]}],"mendeley":{"formattedCitation":"(Dufour &lt;i&gt;et al.&lt;/i&gt;, 2010)","plainTextFormattedCitation":"(Dufour et al., 2010)","previouslyFormattedCitation":"(Dufour &lt;i&gt;et al.&lt;/i&gt;, 2010)"},"properties":{"noteIndex":0},"schema":"https://github.com/citation-style-language/schema/raw/master/csl-citation.json"}</w:instrText>
      </w:r>
      <w:r w:rsidRPr="00A34CD9">
        <w:rPr>
          <w:rFonts w:cstheme="minorHAnsi"/>
          <w:lang w:val="en-GB"/>
        </w:rPr>
        <w:fldChar w:fldCharType="separate"/>
      </w:r>
      <w:r w:rsidR="00FF7053" w:rsidRPr="00A34CD9">
        <w:rPr>
          <w:rFonts w:cstheme="minorHAnsi"/>
          <w:noProof/>
          <w:lang w:val="en-GB"/>
        </w:rPr>
        <w:t xml:space="preserve">(Dufour </w:t>
      </w:r>
      <w:r w:rsidR="00FF7053" w:rsidRPr="00A34CD9">
        <w:rPr>
          <w:rFonts w:cstheme="minorHAnsi"/>
          <w:i/>
          <w:noProof/>
          <w:lang w:val="en-GB"/>
        </w:rPr>
        <w:t>et al.</w:t>
      </w:r>
      <w:r w:rsidR="00FF7053" w:rsidRPr="00A34CD9">
        <w:rPr>
          <w:rFonts w:cstheme="minorHAnsi"/>
          <w:noProof/>
          <w:lang w:val="en-GB"/>
        </w:rPr>
        <w:t>, 2010)</w:t>
      </w:r>
      <w:r w:rsidRPr="00A34CD9">
        <w:rPr>
          <w:rFonts w:cstheme="minorHAnsi"/>
          <w:lang w:val="en-GB"/>
        </w:rPr>
        <w:fldChar w:fldCharType="end"/>
      </w:r>
      <w:r w:rsidR="00F2282B" w:rsidRPr="00A34CD9">
        <w:rPr>
          <w:rFonts w:cstheme="minorHAnsi"/>
          <w:lang w:val="en-GB"/>
        </w:rPr>
        <w:t xml:space="preserve"> </w:t>
      </w:r>
      <w:bookmarkStart w:id="16" w:name="_Hlk101201305"/>
      <w:r w:rsidR="00C52D57" w:rsidRPr="00A34CD9">
        <w:rPr>
          <w:rFonts w:cstheme="minorHAnsi"/>
          <w:lang w:val="en-GB"/>
        </w:rPr>
        <w:t>making the</w:t>
      </w:r>
      <w:r w:rsidRPr="00A34CD9">
        <w:rPr>
          <w:rFonts w:cstheme="minorHAnsi"/>
          <w:lang w:val="en-GB"/>
        </w:rPr>
        <w:t xml:space="preserve"> fishery </w:t>
      </w:r>
      <w:r w:rsidR="00C52D57" w:rsidRPr="00A34CD9">
        <w:rPr>
          <w:rFonts w:cstheme="minorHAnsi"/>
          <w:lang w:val="en-GB"/>
        </w:rPr>
        <w:t>operates</w:t>
      </w:r>
      <w:r w:rsidRPr="00A34CD9">
        <w:rPr>
          <w:rFonts w:cstheme="minorHAnsi"/>
          <w:lang w:val="en-GB"/>
        </w:rPr>
        <w:t xml:space="preserve"> from June to October</w:t>
      </w:r>
      <w:r w:rsidR="00F2282B" w:rsidRPr="00A34CD9">
        <w:rPr>
          <w:rFonts w:cstheme="minorHAnsi"/>
          <w:lang w:val="en-GB"/>
        </w:rPr>
        <w:t xml:space="preserve"> targeting migrating tuna schools </w:t>
      </w:r>
      <w:bookmarkEnd w:id="16"/>
      <w:r w:rsidRPr="00A34CD9">
        <w:rPr>
          <w:rFonts w:cstheme="minorHAnsi"/>
          <w:lang w:val="en-GB"/>
        </w:rPr>
        <w:fldChar w:fldCharType="begin" w:fldLock="1"/>
      </w:r>
      <w:r w:rsidR="005E336E" w:rsidRPr="00A34CD9">
        <w:rPr>
          <w:rFonts w:cstheme="minorHAnsi"/>
          <w:lang w:val="en-GB"/>
        </w:rPr>
        <w:instrText>ADDIN CSL_CITATION {"citationItems":[{"id":"ITEM-1","itemData":{"DOI":"10.1016/S1054","author":[{"dropping-particle":"","family":"Arrizabalaga","given":"H","non-dropping-particle":"","parse-names":false,"suffix":""},{"dropping-particle":"","family":"Ortiz","given":"M","non-dropping-particle":"","parse-names":false,"suffix":""},{"dropping-particle":"","family":"Moreno","given":"G","non-dropping-particle":"","parse-names":false,"suffix":""},{"dropping-particle":"","family":"Kell","given":"L T","non-dropping-particle":"","parse-names":false,"suffix":""},{"dropping-particle":"","family":"Rodrı","given":"C","non-dropping-particle":"","parse-names":false,"suffix":""}],"container-title":"Ices Journal of Marine Science","id":"ITEM-1","issued":{"date-parts":[["2003"]]},"page":"1216-1231","title":"Standardization of bluefin tuna, &lt;i&gt;Thunnus thynnus&lt;/i&gt;, catch per unit effort in the baitboat fishery of the Bay of Biscay (Eastern Atlantic)","type":"article-journal","volume":"60"},"uris":["http://www.mendeley.com/documents/?uuid=8c523533-8fc1-475e-bdde-431d275e9bd3"]}],"mendeley":{"formattedCitation":"(Arrizabalaga &lt;i&gt;et al.&lt;/i&gt;, 2003)","plainTextFormattedCitation":"(Arrizabalaga et al., 2003)","previouslyFormattedCitation":"(Arrizabalaga &lt;i&gt;et al.&lt;/i&gt;, 2003)"},"properties":{"noteIndex":0},"schema":"https://github.com/citation-style-language/schema/raw/master/csl-citation.json"}</w:instrText>
      </w:r>
      <w:r w:rsidRPr="00A34CD9">
        <w:rPr>
          <w:rFonts w:cstheme="minorHAnsi"/>
          <w:lang w:val="en-GB"/>
        </w:rPr>
        <w:fldChar w:fldCharType="separate"/>
      </w:r>
      <w:r w:rsidR="003600F9" w:rsidRPr="00A34CD9">
        <w:rPr>
          <w:rFonts w:cstheme="minorHAnsi"/>
          <w:noProof/>
          <w:lang w:val="en-GB"/>
        </w:rPr>
        <w:t xml:space="preserve">(Arrizabalaga </w:t>
      </w:r>
      <w:r w:rsidR="003600F9" w:rsidRPr="00A34CD9">
        <w:rPr>
          <w:rFonts w:cstheme="minorHAnsi"/>
          <w:i/>
          <w:noProof/>
          <w:lang w:val="en-GB"/>
        </w:rPr>
        <w:t>et al.</w:t>
      </w:r>
      <w:r w:rsidR="003600F9" w:rsidRPr="00A34CD9">
        <w:rPr>
          <w:rFonts w:cstheme="minorHAnsi"/>
          <w:noProof/>
          <w:lang w:val="en-GB"/>
        </w:rPr>
        <w:t>, 2003)</w:t>
      </w:r>
      <w:r w:rsidRPr="00A34CD9">
        <w:rPr>
          <w:rFonts w:cstheme="minorHAnsi"/>
          <w:lang w:val="en-GB"/>
        </w:rPr>
        <w:fldChar w:fldCharType="end"/>
      </w:r>
      <w:bookmarkEnd w:id="15"/>
      <w:r w:rsidRPr="00A34CD9">
        <w:rPr>
          <w:rFonts w:cstheme="minorHAnsi"/>
          <w:lang w:val="en-GB"/>
        </w:rPr>
        <w:t xml:space="preserve">. This fishing fleet operates during daytime with two main </w:t>
      </w:r>
      <w:r w:rsidR="007C6D00" w:rsidRPr="00A34CD9">
        <w:rPr>
          <w:rFonts w:cstheme="minorHAnsi"/>
          <w:lang w:val="en-GB"/>
        </w:rPr>
        <w:t>m</w:t>
      </w:r>
      <w:r w:rsidR="00F2282B" w:rsidRPr="00A34CD9">
        <w:rPr>
          <w:rFonts w:cstheme="minorHAnsi"/>
          <w:lang w:val="en-GB"/>
        </w:rPr>
        <w:t>e</w:t>
      </w:r>
      <w:r w:rsidR="007C6D00" w:rsidRPr="00A34CD9">
        <w:rPr>
          <w:rFonts w:cstheme="minorHAnsi"/>
          <w:lang w:val="en-GB"/>
        </w:rPr>
        <w:t>tiers</w:t>
      </w:r>
      <w:r w:rsidRPr="00A34CD9">
        <w:rPr>
          <w:rFonts w:cstheme="minorHAnsi"/>
          <w:lang w:val="en-GB"/>
        </w:rPr>
        <w:t xml:space="preserve">, </w:t>
      </w:r>
      <w:proofErr w:type="gramStart"/>
      <w:r w:rsidRPr="00A34CD9">
        <w:rPr>
          <w:rFonts w:cstheme="minorHAnsi"/>
          <w:lang w:val="en-GB"/>
        </w:rPr>
        <w:t>pole</w:t>
      </w:r>
      <w:proofErr w:type="gramEnd"/>
      <w:r w:rsidRPr="00A34CD9">
        <w:rPr>
          <w:rFonts w:cstheme="minorHAnsi"/>
          <w:lang w:val="en-GB"/>
        </w:rPr>
        <w:t xml:space="preserve"> and lines (</w:t>
      </w:r>
      <w:proofErr w:type="spellStart"/>
      <w:r w:rsidRPr="00A34CD9">
        <w:rPr>
          <w:rFonts w:cstheme="minorHAnsi"/>
          <w:lang w:val="en-GB"/>
        </w:rPr>
        <w:t>baitboats</w:t>
      </w:r>
      <w:proofErr w:type="spellEnd"/>
      <w:r w:rsidRPr="00A34CD9">
        <w:rPr>
          <w:rFonts w:cstheme="minorHAnsi"/>
          <w:lang w:val="en-GB"/>
        </w:rPr>
        <w:t>) and trolling lines</w:t>
      </w:r>
      <w:r w:rsidR="0038005C" w:rsidRPr="00A34CD9">
        <w:rPr>
          <w:rFonts w:cstheme="minorHAnsi"/>
          <w:lang w:val="en-GB"/>
        </w:rPr>
        <w:t xml:space="preserve"> (trollers</w:t>
      </w:r>
      <w:r w:rsidR="00801C81" w:rsidRPr="00A34CD9">
        <w:rPr>
          <w:rFonts w:cstheme="minorHAnsi"/>
          <w:lang w:val="en-GB"/>
        </w:rPr>
        <w:t xml:space="preserve">; </w:t>
      </w:r>
      <w:r w:rsidRPr="00A34CD9">
        <w:rPr>
          <w:rFonts w:cstheme="minorHAnsi"/>
          <w:lang w:val="en-GB"/>
        </w:rPr>
        <w:t>LH</w:t>
      </w:r>
      <w:r w:rsidR="00F956E5" w:rsidRPr="00A34CD9">
        <w:rPr>
          <w:rFonts w:cstheme="minorHAnsi"/>
          <w:lang w:val="en-GB"/>
        </w:rPr>
        <w:t>P</w:t>
      </w:r>
      <w:r w:rsidRPr="00A34CD9">
        <w:rPr>
          <w:rFonts w:cstheme="minorHAnsi"/>
          <w:lang w:val="en-GB"/>
        </w:rPr>
        <w:t xml:space="preserve"> and LTL, hereafter). For </w:t>
      </w:r>
      <w:r w:rsidR="00485712" w:rsidRPr="00A34CD9">
        <w:rPr>
          <w:rFonts w:cstheme="minorHAnsi"/>
          <w:lang w:val="en-GB"/>
        </w:rPr>
        <w:t xml:space="preserve">LHP </w:t>
      </w:r>
      <w:r w:rsidRPr="00A34CD9">
        <w:rPr>
          <w:rFonts w:cstheme="minorHAnsi"/>
          <w:lang w:val="en-GB"/>
        </w:rPr>
        <w:t xml:space="preserve">fishing, tuna schools are attracted to </w:t>
      </w:r>
      <w:r w:rsidR="00833174" w:rsidRPr="00A34CD9">
        <w:rPr>
          <w:rFonts w:cstheme="minorHAnsi"/>
          <w:lang w:val="en-GB"/>
        </w:rPr>
        <w:t xml:space="preserve">one </w:t>
      </w:r>
      <w:r w:rsidRPr="00A34CD9">
        <w:rPr>
          <w:rFonts w:cstheme="minorHAnsi"/>
          <w:lang w:val="en-GB"/>
        </w:rPr>
        <w:t>side of the vessel using alive small pelagic</w:t>
      </w:r>
      <w:r w:rsidR="00833174" w:rsidRPr="00A34CD9">
        <w:rPr>
          <w:rFonts w:cstheme="minorHAnsi"/>
          <w:lang w:val="en-GB"/>
        </w:rPr>
        <w:t xml:space="preserve"> fishe</w:t>
      </w:r>
      <w:r w:rsidRPr="00A34CD9">
        <w:rPr>
          <w:rFonts w:cstheme="minorHAnsi"/>
          <w:lang w:val="en-GB"/>
        </w:rPr>
        <w:t xml:space="preserve">s as bait, and then, when the </w:t>
      </w:r>
      <w:r w:rsidR="00271B15" w:rsidRPr="00A34CD9">
        <w:rPr>
          <w:rFonts w:cstheme="minorHAnsi"/>
          <w:lang w:val="en-GB"/>
        </w:rPr>
        <w:t>tuna</w:t>
      </w:r>
      <w:r w:rsidRPr="00A34CD9">
        <w:rPr>
          <w:rFonts w:cstheme="minorHAnsi"/>
          <w:lang w:val="en-GB"/>
        </w:rPr>
        <w:t xml:space="preserve"> are close to the vessel, s</w:t>
      </w:r>
      <w:bookmarkStart w:id="17" w:name="_Hlk92812887"/>
      <w:r w:rsidRPr="00A34CD9">
        <w:rPr>
          <w:rFonts w:cstheme="minorHAnsi"/>
          <w:lang w:val="en-GB"/>
        </w:rPr>
        <w:t>praying a water curtain over the water surface to hide the lines</w:t>
      </w:r>
      <w:bookmarkEnd w:id="17"/>
      <w:r w:rsidRPr="00A34CD9">
        <w:rPr>
          <w:rFonts w:cstheme="minorHAnsi"/>
          <w:lang w:val="en-GB"/>
        </w:rPr>
        <w:t xml:space="preserve"> and the vessel</w:t>
      </w:r>
      <w:r w:rsidR="00432201" w:rsidRPr="00A34CD9">
        <w:rPr>
          <w:rFonts w:cstheme="minorHAnsi"/>
          <w:lang w:val="en-GB"/>
        </w:rPr>
        <w:t xml:space="preserve">, </w:t>
      </w:r>
      <w:r w:rsidRPr="00A34CD9">
        <w:rPr>
          <w:rFonts w:cstheme="minorHAnsi"/>
          <w:lang w:val="en-GB"/>
        </w:rPr>
        <w:t>simulating a school of small pelagic</w:t>
      </w:r>
      <w:r w:rsidR="00DB2F16" w:rsidRPr="00A34CD9">
        <w:rPr>
          <w:rFonts w:cstheme="minorHAnsi"/>
          <w:lang w:val="en-GB"/>
        </w:rPr>
        <w:t xml:space="preserve"> fishe</w:t>
      </w:r>
      <w:r w:rsidRPr="00A34CD9">
        <w:rPr>
          <w:rFonts w:cstheme="minorHAnsi"/>
          <w:lang w:val="en-GB"/>
        </w:rPr>
        <w:t xml:space="preserve">s splashing at the surface. In the case of the LTL, up to 15 lines with artificial </w:t>
      </w:r>
      <w:r w:rsidR="000604CF" w:rsidRPr="00A34CD9">
        <w:rPr>
          <w:rFonts w:cstheme="minorHAnsi"/>
          <w:lang w:val="en-GB"/>
        </w:rPr>
        <w:t>lures</w:t>
      </w:r>
      <w:r w:rsidRPr="00A34CD9">
        <w:rPr>
          <w:rFonts w:cstheme="minorHAnsi"/>
          <w:lang w:val="en-GB"/>
        </w:rPr>
        <w:t xml:space="preserve"> </w:t>
      </w:r>
      <w:r w:rsidR="000604CF" w:rsidRPr="00A34CD9">
        <w:rPr>
          <w:rFonts w:cstheme="minorHAnsi"/>
          <w:lang w:val="en-GB"/>
        </w:rPr>
        <w:t>are towed behind the</w:t>
      </w:r>
      <w:r w:rsidRPr="00A34CD9">
        <w:rPr>
          <w:rFonts w:cstheme="minorHAnsi"/>
          <w:lang w:val="en-GB"/>
        </w:rPr>
        <w:t xml:space="preserve"> vessel near the surface at a certain </w:t>
      </w:r>
      <w:r w:rsidR="000604CF" w:rsidRPr="00A34CD9">
        <w:rPr>
          <w:rFonts w:cstheme="minorHAnsi"/>
          <w:lang w:val="en-GB"/>
        </w:rPr>
        <w:t>speed (around 7 knots)</w:t>
      </w:r>
      <w:r w:rsidRPr="00A34CD9">
        <w:rPr>
          <w:rFonts w:cstheme="minorHAnsi"/>
          <w:lang w:val="en-GB"/>
        </w:rPr>
        <w:t xml:space="preserve">. </w:t>
      </w:r>
      <w:r w:rsidR="001454ED" w:rsidRPr="00A34CD9">
        <w:rPr>
          <w:rFonts w:cstheme="minorHAnsi"/>
          <w:lang w:val="en-GB"/>
        </w:rPr>
        <w:t>Although</w:t>
      </w:r>
      <w:r w:rsidRPr="00A34CD9">
        <w:rPr>
          <w:rFonts w:cstheme="minorHAnsi"/>
          <w:lang w:val="en-GB"/>
        </w:rPr>
        <w:t xml:space="preserve"> both </w:t>
      </w:r>
      <w:r w:rsidR="00146575" w:rsidRPr="00A34CD9">
        <w:rPr>
          <w:rFonts w:cstheme="minorHAnsi"/>
          <w:lang w:val="en-GB"/>
        </w:rPr>
        <w:t>metiers</w:t>
      </w:r>
      <w:r w:rsidRPr="00A34CD9">
        <w:rPr>
          <w:rFonts w:cstheme="minorHAnsi"/>
          <w:lang w:val="en-GB"/>
        </w:rPr>
        <w:t xml:space="preserve"> are </w:t>
      </w:r>
      <w:r w:rsidR="00AD30BB" w:rsidRPr="00A34CD9">
        <w:rPr>
          <w:rFonts w:cstheme="minorHAnsi"/>
          <w:lang w:val="en-GB"/>
        </w:rPr>
        <w:t>highly</w:t>
      </w:r>
      <w:r w:rsidRPr="00A34CD9">
        <w:rPr>
          <w:rFonts w:cstheme="minorHAnsi"/>
          <w:lang w:val="en-GB"/>
        </w:rPr>
        <w:t xml:space="preserve"> selective </w:t>
      </w:r>
      <w:r w:rsidRPr="00A34CD9">
        <w:rPr>
          <w:rFonts w:cstheme="minorHAnsi"/>
          <w:lang w:val="en-GB"/>
        </w:rPr>
        <w:fldChar w:fldCharType="begin" w:fldLock="1"/>
      </w:r>
      <w:r w:rsidR="005E336E" w:rsidRPr="00A34CD9">
        <w:rPr>
          <w:rFonts w:cstheme="minorHAnsi"/>
          <w:lang w:val="en-GB"/>
        </w:rPr>
        <w:instrText>ADDIN CSL_CITATION {"citationItems":[{"id":"ITEM-1","itemData":{"author":[{"dropping-particle":"","family":"Santiago","given":"Josu","non-dropping-particle":"","parse-names":false,"suffix":""},{"dropping-particle":"","family":"Arrizabalaga","given":"Haritz","non-dropping-particle":"","parse-names":false,"suffix":""},{"dropping-particle":"","family":"Ortiz","given":"Mauricio","non-dropping-particle":"","parse-names":false,"suffix":""},{"dropping-particle":"","family":"Goñi","given":"Nicolás","non-dropping-particle":"","parse-names":false,"suffix":""}],"container-title":"SCRS/2013/054. Collective Volume of Scientific Papers ICCAT","id":"ITEM-1","issued":{"date-parts":[["2016"]]},"page":"1694-1714","title":"Updated standardized bluefin tuna CPUE index of the Bay of Biscay baitboat","type":"article-journal","volume":"72"},"uris":["http://www.mendeley.com/documents/?uuid=a84cc29d-bdc8-4b54-98cd-7e36bed43785"]}],"mendeley":{"formattedCitation":"(Santiago &lt;i&gt;et al.&lt;/i&gt;, 2016)","plainTextFormattedCitation":"(Santiago et al., 2016)","previouslyFormattedCitation":"(Santiago &lt;i&gt;et al.&lt;/i&gt;, 2016)"},"properties":{"noteIndex":0},"schema":"https://github.com/citation-style-language/schema/raw/master/csl-citation.json"}</w:instrText>
      </w:r>
      <w:r w:rsidRPr="00A34CD9">
        <w:rPr>
          <w:rFonts w:cstheme="minorHAnsi"/>
          <w:lang w:val="en-GB"/>
        </w:rPr>
        <w:fldChar w:fldCharType="separate"/>
      </w:r>
      <w:r w:rsidR="003600F9" w:rsidRPr="00A34CD9">
        <w:rPr>
          <w:rFonts w:cstheme="minorHAnsi"/>
          <w:noProof/>
          <w:lang w:val="en-GB"/>
        </w:rPr>
        <w:t xml:space="preserve">(Santiago </w:t>
      </w:r>
      <w:r w:rsidR="003600F9" w:rsidRPr="00A34CD9">
        <w:rPr>
          <w:rFonts w:cstheme="minorHAnsi"/>
          <w:i/>
          <w:noProof/>
          <w:lang w:val="en-GB"/>
        </w:rPr>
        <w:t>et al.</w:t>
      </w:r>
      <w:r w:rsidR="003600F9" w:rsidRPr="00A34CD9">
        <w:rPr>
          <w:rFonts w:cstheme="minorHAnsi"/>
          <w:noProof/>
          <w:lang w:val="en-GB"/>
        </w:rPr>
        <w:t>, 2016)</w:t>
      </w:r>
      <w:r w:rsidRPr="00A34CD9">
        <w:rPr>
          <w:rFonts w:cstheme="minorHAnsi"/>
          <w:lang w:val="en-GB"/>
        </w:rPr>
        <w:fldChar w:fldCharType="end"/>
      </w:r>
      <w:r w:rsidR="001454ED" w:rsidRPr="00A34CD9">
        <w:rPr>
          <w:rFonts w:cstheme="minorHAnsi"/>
          <w:lang w:val="en-GB"/>
        </w:rPr>
        <w:t xml:space="preserve">, a </w:t>
      </w:r>
      <w:r w:rsidRPr="00A34CD9">
        <w:rPr>
          <w:rFonts w:cstheme="minorHAnsi"/>
          <w:lang w:val="en-GB"/>
        </w:rPr>
        <w:t xml:space="preserve">specific onboard monitoring programme of interaction with </w:t>
      </w:r>
      <w:r w:rsidR="00295386" w:rsidRPr="00A34CD9">
        <w:rPr>
          <w:rFonts w:cstheme="minorHAnsi"/>
          <w:lang w:val="en-GB"/>
        </w:rPr>
        <w:t>PET</w:t>
      </w:r>
      <w:r w:rsidR="0008299E" w:rsidRPr="00A34CD9">
        <w:rPr>
          <w:rFonts w:cstheme="minorHAnsi"/>
          <w:lang w:val="en-GB"/>
        </w:rPr>
        <w:t>s</w:t>
      </w:r>
      <w:r w:rsidR="00914003" w:rsidRPr="00A34CD9">
        <w:rPr>
          <w:rFonts w:cstheme="minorHAnsi"/>
          <w:lang w:val="en-GB"/>
        </w:rPr>
        <w:t>,</w:t>
      </w:r>
      <w:r w:rsidRPr="00A34CD9">
        <w:rPr>
          <w:rFonts w:cstheme="minorHAnsi"/>
          <w:lang w:val="en-GB"/>
        </w:rPr>
        <w:t xml:space="preserve"> </w:t>
      </w:r>
      <w:r w:rsidR="000B2D05" w:rsidRPr="00A34CD9">
        <w:rPr>
          <w:rFonts w:cstheme="minorHAnsi"/>
          <w:lang w:val="en-GB"/>
        </w:rPr>
        <w:t xml:space="preserve">conducted </w:t>
      </w:r>
      <w:r w:rsidR="000B2D05" w:rsidRPr="00A34CD9">
        <w:rPr>
          <w:rFonts w:cstheme="minorHAnsi"/>
          <w:lang w:val="en-GB"/>
        </w:rPr>
        <w:lastRenderedPageBreak/>
        <w:t xml:space="preserve">between 2016-2019 </w:t>
      </w:r>
      <w:r w:rsidR="00914003" w:rsidRPr="00A34CD9">
        <w:rPr>
          <w:rFonts w:cstheme="minorHAnsi"/>
          <w:lang w:val="en-GB"/>
        </w:rPr>
        <w:t xml:space="preserve">at the </w:t>
      </w:r>
      <w:proofErr w:type="spellStart"/>
      <w:r w:rsidR="00D10C9E" w:rsidRPr="00A34CD9">
        <w:rPr>
          <w:rFonts w:cstheme="minorHAnsi"/>
          <w:lang w:val="en-GB"/>
        </w:rPr>
        <w:t>BoB</w:t>
      </w:r>
      <w:proofErr w:type="spellEnd"/>
      <w:r w:rsidR="00D10C9E" w:rsidRPr="00A34CD9">
        <w:rPr>
          <w:rFonts w:cstheme="minorHAnsi"/>
          <w:lang w:val="en-GB"/>
        </w:rPr>
        <w:t xml:space="preserve"> and adjacent waters</w:t>
      </w:r>
      <w:r w:rsidR="00914003" w:rsidRPr="00A34CD9">
        <w:rPr>
          <w:rFonts w:cstheme="minorHAnsi"/>
          <w:lang w:val="en-GB"/>
        </w:rPr>
        <w:t>,</w:t>
      </w:r>
      <w:r w:rsidRPr="00A34CD9">
        <w:rPr>
          <w:rFonts w:cstheme="minorHAnsi"/>
          <w:lang w:val="en-GB"/>
        </w:rPr>
        <w:t xml:space="preserve"> </w:t>
      </w:r>
      <w:r w:rsidR="00AD30BB" w:rsidRPr="00A34CD9">
        <w:rPr>
          <w:rFonts w:cstheme="minorHAnsi"/>
          <w:lang w:val="en-GB"/>
        </w:rPr>
        <w:t xml:space="preserve">identified </w:t>
      </w:r>
      <w:r w:rsidR="00DE6A85" w:rsidRPr="00A34CD9">
        <w:rPr>
          <w:rFonts w:cstheme="minorHAnsi"/>
          <w:lang w:val="en-GB"/>
        </w:rPr>
        <w:t xml:space="preserve">the </w:t>
      </w:r>
      <w:r w:rsidR="00F81FAF" w:rsidRPr="00A34CD9">
        <w:rPr>
          <w:rFonts w:cstheme="minorHAnsi"/>
          <w:lang w:val="en-GB"/>
        </w:rPr>
        <w:t>great shearwater (</w:t>
      </w:r>
      <w:proofErr w:type="spellStart"/>
      <w:r w:rsidR="00F81FAF" w:rsidRPr="00A34CD9">
        <w:rPr>
          <w:rFonts w:cstheme="minorHAnsi"/>
          <w:i/>
          <w:iCs/>
          <w:lang w:val="en-GB"/>
        </w:rPr>
        <w:t>Ardenna</w:t>
      </w:r>
      <w:proofErr w:type="spellEnd"/>
      <w:r w:rsidR="00F81FAF" w:rsidRPr="00A34CD9">
        <w:rPr>
          <w:rFonts w:cstheme="minorHAnsi"/>
          <w:i/>
          <w:iCs/>
          <w:lang w:val="en-GB"/>
        </w:rPr>
        <w:t xml:space="preserve"> gravis</w:t>
      </w:r>
      <w:r w:rsidR="00F81FAF" w:rsidRPr="00A34CD9">
        <w:rPr>
          <w:rFonts w:cstheme="minorHAnsi"/>
          <w:lang w:val="en-GB"/>
        </w:rPr>
        <w:t>)</w:t>
      </w:r>
      <w:r w:rsidR="007E080D" w:rsidRPr="00A34CD9">
        <w:rPr>
          <w:rFonts w:cstheme="minorHAnsi"/>
          <w:lang w:val="en-GB"/>
        </w:rPr>
        <w:t xml:space="preserve"> </w:t>
      </w:r>
      <w:r w:rsidR="00F81FAF" w:rsidRPr="00A34CD9">
        <w:rPr>
          <w:rFonts w:cstheme="minorHAnsi"/>
          <w:lang w:val="en-GB"/>
        </w:rPr>
        <w:t xml:space="preserve">as the main species interacting with the artisanal tuna fishery of the </w:t>
      </w:r>
      <w:proofErr w:type="spellStart"/>
      <w:r w:rsidR="00F81FAF" w:rsidRPr="00A34CD9">
        <w:rPr>
          <w:rFonts w:cstheme="minorHAnsi"/>
          <w:lang w:val="en-GB"/>
        </w:rPr>
        <w:t>BoB</w:t>
      </w:r>
      <w:proofErr w:type="spellEnd"/>
      <w:r w:rsidR="00915930" w:rsidRPr="00A34CD9">
        <w:rPr>
          <w:rFonts w:cstheme="minorHAnsi"/>
          <w:lang w:val="en-GB"/>
        </w:rPr>
        <w:t xml:space="preserve"> (</w:t>
      </w:r>
      <w:r w:rsidR="002336E4" w:rsidRPr="00A34CD9">
        <w:rPr>
          <w:rFonts w:cstheme="minorHAnsi"/>
          <w:lang w:val="en-GB"/>
        </w:rPr>
        <w:t xml:space="preserve">accounting for the </w:t>
      </w:r>
      <w:r w:rsidR="006B4D6F" w:rsidRPr="00A34CD9">
        <w:rPr>
          <w:rFonts w:cstheme="minorHAnsi"/>
          <w:lang w:val="en-GB"/>
        </w:rPr>
        <w:t>66.1% of the individuals incidentally captured during the period 2016-2019;</w:t>
      </w:r>
      <w:r w:rsidR="005D203D" w:rsidRPr="00A34CD9">
        <w:rPr>
          <w:rFonts w:cstheme="minorHAnsi"/>
          <w:lang w:val="en-GB"/>
        </w:rPr>
        <w:t xml:space="preserve"> </w:t>
      </w:r>
      <w:r w:rsidR="005D203D" w:rsidRPr="00A34CD9">
        <w:rPr>
          <w:rFonts w:cstheme="minorHAnsi"/>
          <w:lang w:val="en-GB"/>
        </w:rPr>
        <w:fldChar w:fldCharType="begin" w:fldLock="1"/>
      </w:r>
      <w:r w:rsidR="00B149E0" w:rsidRPr="00A34CD9">
        <w:rPr>
          <w:rFonts w:cstheme="minorHAnsi"/>
          <w:lang w:val="en-GB"/>
        </w:rPr>
        <w:instrText>ADDIN CSL_CITATION {"citationItems":[{"id":"ITEM-1","itemData":{"author":[{"dropping-particle":"","family":"MSC","given":"","non-dropping-particle":"","parse-names":false,"suffix":""}],"id":"ITEM-1","issued":{"date-parts":[["2021"]]},"title":"North Atlantic Albacore Artisanal Fishery Public Certification Report.","type":"report"},"uris":["http://www.mendeley.com/documents/?uuid=3dd59f7b-7f16-4647-b566-61f93f6b4073"]}],"mendeley":{"formattedCitation":"(MSC, 2021)","manualFormatting":"MSC, 2021)","plainTextFormattedCitation":"(MSC, 2021)","previouslyFormattedCitation":"(MSC, 2021)"},"properties":{"noteIndex":0},"schema":"https://github.com/citation-style-language/schema/raw/master/csl-citation.json"}</w:instrText>
      </w:r>
      <w:r w:rsidR="005D203D" w:rsidRPr="00A34CD9">
        <w:rPr>
          <w:rFonts w:cstheme="minorHAnsi"/>
          <w:lang w:val="en-GB"/>
        </w:rPr>
        <w:fldChar w:fldCharType="separate"/>
      </w:r>
      <w:r w:rsidR="005D203D" w:rsidRPr="00A34CD9">
        <w:rPr>
          <w:rFonts w:cstheme="minorHAnsi"/>
          <w:noProof/>
          <w:lang w:val="en-GB"/>
        </w:rPr>
        <w:t>MSC, 2021)</w:t>
      </w:r>
      <w:r w:rsidR="005D203D" w:rsidRPr="00A34CD9">
        <w:rPr>
          <w:rFonts w:cstheme="minorHAnsi"/>
          <w:lang w:val="en-GB"/>
        </w:rPr>
        <w:fldChar w:fldCharType="end"/>
      </w:r>
      <w:r w:rsidR="005D203D" w:rsidRPr="00A34CD9">
        <w:rPr>
          <w:rFonts w:cstheme="minorHAnsi"/>
          <w:lang w:val="en-GB"/>
        </w:rPr>
        <w:t>.</w:t>
      </w:r>
    </w:p>
    <w:p w14:paraId="109A3585" w14:textId="4C0577B0" w:rsidR="003B03C3" w:rsidRPr="00A34CD9" w:rsidRDefault="00CC5741" w:rsidP="002A528E">
      <w:pPr>
        <w:suppressLineNumbers/>
        <w:spacing w:line="480" w:lineRule="auto"/>
        <w:jc w:val="both"/>
        <w:rPr>
          <w:rFonts w:cstheme="minorHAnsi"/>
          <w:lang w:val="en-GB"/>
        </w:rPr>
      </w:pPr>
      <w:bookmarkStart w:id="18" w:name="_Hlk101201919"/>
      <w:r w:rsidRPr="00A34CD9">
        <w:rPr>
          <w:rFonts w:cstheme="minorHAnsi"/>
          <w:lang w:val="en-GB"/>
        </w:rPr>
        <w:t xml:space="preserve">In this study, </w:t>
      </w:r>
      <w:r w:rsidR="007B274D" w:rsidRPr="00A34CD9">
        <w:rPr>
          <w:rFonts w:cstheme="minorHAnsi"/>
          <w:lang w:val="en-GB"/>
        </w:rPr>
        <w:t>we</w:t>
      </w:r>
      <w:r w:rsidR="00B95F4E" w:rsidRPr="00A34CD9">
        <w:rPr>
          <w:rFonts w:cstheme="minorHAnsi"/>
          <w:lang w:val="en-GB"/>
        </w:rPr>
        <w:t xml:space="preserve"> </w:t>
      </w:r>
      <w:r w:rsidR="00D63906" w:rsidRPr="00A34CD9">
        <w:rPr>
          <w:rFonts w:cstheme="minorHAnsi"/>
          <w:lang w:val="en-GB"/>
        </w:rPr>
        <w:t xml:space="preserve">assessed the relative risk posed by the artisanal tuna fishery operating at the </w:t>
      </w:r>
      <w:proofErr w:type="spellStart"/>
      <w:r w:rsidR="00D63906" w:rsidRPr="00A34CD9">
        <w:rPr>
          <w:rFonts w:cstheme="minorHAnsi"/>
          <w:lang w:val="en-GB"/>
        </w:rPr>
        <w:t>BoB</w:t>
      </w:r>
      <w:proofErr w:type="spellEnd"/>
      <w:r w:rsidR="00D63906" w:rsidRPr="00A34CD9">
        <w:rPr>
          <w:rFonts w:cstheme="minorHAnsi"/>
          <w:lang w:val="en-GB"/>
        </w:rPr>
        <w:t xml:space="preserve"> to </w:t>
      </w:r>
      <w:r w:rsidR="00661057" w:rsidRPr="00A34CD9">
        <w:rPr>
          <w:rFonts w:cstheme="minorHAnsi"/>
          <w:lang w:val="en-GB"/>
        </w:rPr>
        <w:t>the main</w:t>
      </w:r>
      <w:r w:rsidR="00B95F4E" w:rsidRPr="00A34CD9">
        <w:rPr>
          <w:rFonts w:cstheme="minorHAnsi"/>
          <w:lang w:val="en-GB"/>
        </w:rPr>
        <w:t xml:space="preserve"> PET species bycaught in the fishery</w:t>
      </w:r>
      <w:r w:rsidR="000C3344" w:rsidRPr="00A34CD9">
        <w:rPr>
          <w:rFonts w:cstheme="minorHAnsi"/>
          <w:lang w:val="en-GB"/>
        </w:rPr>
        <w:t>, the great shearwater</w:t>
      </w:r>
      <w:r w:rsidR="00BB242E" w:rsidRPr="00A34CD9">
        <w:rPr>
          <w:rFonts w:cstheme="minorHAnsi"/>
          <w:lang w:val="en-GB"/>
        </w:rPr>
        <w:t xml:space="preserve">. </w:t>
      </w:r>
      <w:r w:rsidR="004D26CC" w:rsidRPr="00A34CD9">
        <w:rPr>
          <w:rFonts w:cstheme="minorHAnsi"/>
          <w:bCs/>
          <w:lang w:val="en-GB"/>
        </w:rPr>
        <w:t xml:space="preserve">Firstly, </w:t>
      </w:r>
      <w:proofErr w:type="spellStart"/>
      <w:r w:rsidR="006F600A" w:rsidRPr="00A34CD9">
        <w:rPr>
          <w:rFonts w:cstheme="minorHAnsi"/>
          <w:bCs/>
          <w:lang w:val="en-GB"/>
        </w:rPr>
        <w:t>spatio</w:t>
      </w:r>
      <w:proofErr w:type="spellEnd"/>
      <w:r w:rsidR="006F600A" w:rsidRPr="00A34CD9">
        <w:rPr>
          <w:rFonts w:cstheme="minorHAnsi"/>
          <w:bCs/>
          <w:lang w:val="en-GB"/>
        </w:rPr>
        <w:t xml:space="preserve">-temporal abundance patterns </w:t>
      </w:r>
      <w:r w:rsidR="00AE7361" w:rsidRPr="00A34CD9">
        <w:rPr>
          <w:rFonts w:cstheme="minorHAnsi"/>
          <w:bCs/>
          <w:lang w:val="en-GB"/>
        </w:rPr>
        <w:t xml:space="preserve">of </w:t>
      </w:r>
      <w:r w:rsidR="00AE7361" w:rsidRPr="00A34CD9">
        <w:rPr>
          <w:rFonts w:cstheme="minorHAnsi"/>
          <w:lang w:val="en-GB"/>
        </w:rPr>
        <w:t xml:space="preserve">great shearwater </w:t>
      </w:r>
      <w:r w:rsidR="006F600A" w:rsidRPr="00A34CD9">
        <w:rPr>
          <w:rFonts w:cstheme="minorHAnsi"/>
          <w:bCs/>
          <w:lang w:val="en-GB"/>
        </w:rPr>
        <w:t xml:space="preserve">were obtained </w:t>
      </w:r>
      <w:r w:rsidR="00D05B21" w:rsidRPr="00A34CD9">
        <w:rPr>
          <w:rFonts w:cstheme="minorHAnsi"/>
          <w:bCs/>
          <w:lang w:val="en-GB"/>
        </w:rPr>
        <w:t xml:space="preserve">by </w:t>
      </w:r>
      <w:r w:rsidR="00AE7361" w:rsidRPr="00A34CD9">
        <w:rPr>
          <w:rFonts w:cstheme="minorHAnsi"/>
          <w:bCs/>
          <w:lang w:val="en-GB"/>
        </w:rPr>
        <w:t xml:space="preserve">developing spatial abundance models which </w:t>
      </w:r>
      <w:r w:rsidR="00D05B21" w:rsidRPr="00A34CD9">
        <w:rPr>
          <w:rFonts w:cstheme="minorHAnsi"/>
          <w:bCs/>
          <w:lang w:val="en-GB"/>
        </w:rPr>
        <w:t>integrat</w:t>
      </w:r>
      <w:r w:rsidR="00AE7361" w:rsidRPr="00A34CD9">
        <w:rPr>
          <w:rFonts w:cstheme="minorHAnsi"/>
          <w:bCs/>
          <w:lang w:val="en-GB"/>
        </w:rPr>
        <w:t>es</w:t>
      </w:r>
      <w:r w:rsidR="00D05B21" w:rsidRPr="00A34CD9">
        <w:rPr>
          <w:rFonts w:cstheme="minorHAnsi"/>
          <w:bCs/>
          <w:lang w:val="en-GB"/>
        </w:rPr>
        <w:t xml:space="preserve"> information of different </w:t>
      </w:r>
      <w:r w:rsidR="009E6093" w:rsidRPr="00A34CD9">
        <w:rPr>
          <w:rFonts w:cstheme="minorHAnsi"/>
          <w:bCs/>
          <w:lang w:val="en-GB"/>
        </w:rPr>
        <w:t>ecosystem components</w:t>
      </w:r>
      <w:r w:rsidR="00D05B21" w:rsidRPr="00A34CD9">
        <w:rPr>
          <w:rFonts w:cstheme="minorHAnsi"/>
          <w:bCs/>
          <w:lang w:val="en-GB"/>
        </w:rPr>
        <w:t xml:space="preserve"> collected during integrated ecosystem surveys. </w:t>
      </w:r>
      <w:r w:rsidR="00806EE6" w:rsidRPr="00A34CD9">
        <w:rPr>
          <w:rFonts w:cstheme="minorHAnsi"/>
          <w:bCs/>
          <w:lang w:val="en-GB"/>
        </w:rPr>
        <w:t xml:space="preserve">Secondly, </w:t>
      </w:r>
      <w:r w:rsidR="00D63906" w:rsidRPr="00A34CD9">
        <w:rPr>
          <w:rFonts w:cstheme="minorHAnsi"/>
          <w:bCs/>
          <w:lang w:val="en-GB"/>
        </w:rPr>
        <w:t xml:space="preserve">a </w:t>
      </w:r>
      <w:proofErr w:type="spellStart"/>
      <w:r w:rsidR="00D63906" w:rsidRPr="00A34CD9">
        <w:rPr>
          <w:rFonts w:cstheme="minorHAnsi"/>
          <w:bCs/>
          <w:lang w:val="en-GB"/>
        </w:rPr>
        <w:t>spatio</w:t>
      </w:r>
      <w:proofErr w:type="spellEnd"/>
      <w:r w:rsidR="00D63906" w:rsidRPr="00A34CD9">
        <w:rPr>
          <w:rFonts w:cstheme="minorHAnsi"/>
          <w:bCs/>
          <w:lang w:val="en-GB"/>
        </w:rPr>
        <w:t xml:space="preserve">-temporal </w:t>
      </w:r>
      <w:r w:rsidR="00506970" w:rsidRPr="00A34CD9">
        <w:rPr>
          <w:rFonts w:cstheme="minorHAnsi"/>
          <w:bCs/>
          <w:lang w:val="en-GB"/>
        </w:rPr>
        <w:t>ERAEF</w:t>
      </w:r>
      <w:r w:rsidR="00D63906" w:rsidRPr="00A34CD9">
        <w:rPr>
          <w:rFonts w:cstheme="minorHAnsi"/>
          <w:bCs/>
          <w:lang w:val="en-GB"/>
        </w:rPr>
        <w:t xml:space="preserve"> was developed </w:t>
      </w:r>
      <w:r w:rsidR="00D63906" w:rsidRPr="00A34CD9">
        <w:rPr>
          <w:rFonts w:cstheme="minorHAnsi"/>
          <w:lang w:val="en-GB"/>
        </w:rPr>
        <w:t>using</w:t>
      </w:r>
      <w:r w:rsidR="00BF2F6D" w:rsidRPr="00A34CD9">
        <w:rPr>
          <w:rFonts w:cstheme="minorHAnsi"/>
          <w:lang w:val="en-GB"/>
        </w:rPr>
        <w:t xml:space="preserve"> the best available spatial and temporal data on fishing effort, </w:t>
      </w:r>
      <w:r w:rsidR="00903095" w:rsidRPr="00A34CD9">
        <w:rPr>
          <w:rFonts w:cstheme="minorHAnsi"/>
          <w:lang w:val="en-GB"/>
        </w:rPr>
        <w:t>both</w:t>
      </w:r>
      <w:r w:rsidR="00BF2F6D" w:rsidRPr="00A34CD9">
        <w:rPr>
          <w:rFonts w:cstheme="minorHAnsi"/>
          <w:lang w:val="en-GB"/>
        </w:rPr>
        <w:t xml:space="preserve"> from logbooks and VMS monitoring</w:t>
      </w:r>
      <w:r w:rsidR="00AE7361" w:rsidRPr="00A34CD9">
        <w:rPr>
          <w:rFonts w:cstheme="minorHAnsi"/>
          <w:lang w:val="en-GB"/>
        </w:rPr>
        <w:t xml:space="preserve"> to </w:t>
      </w:r>
      <w:r w:rsidR="00D63906" w:rsidRPr="00A34CD9">
        <w:rPr>
          <w:rFonts w:cstheme="minorHAnsi"/>
          <w:lang w:val="en-GB"/>
        </w:rPr>
        <w:t xml:space="preserve">assess </w:t>
      </w:r>
      <w:r w:rsidR="00936226" w:rsidRPr="00A34CD9">
        <w:rPr>
          <w:rFonts w:cstheme="minorHAnsi"/>
          <w:lang w:val="en-GB"/>
        </w:rPr>
        <w:t xml:space="preserve">the fisheries potential risk and highlight </w:t>
      </w:r>
      <w:r w:rsidR="00D63906" w:rsidRPr="00A34CD9">
        <w:rPr>
          <w:rFonts w:cstheme="minorHAnsi"/>
          <w:lang w:val="en-GB"/>
        </w:rPr>
        <w:t xml:space="preserve">potential </w:t>
      </w:r>
      <w:r w:rsidR="00AE7361" w:rsidRPr="00A34CD9">
        <w:rPr>
          <w:rFonts w:cstheme="minorHAnsi"/>
          <w:lang w:val="en-GB"/>
        </w:rPr>
        <w:t>risk bycatch areas</w:t>
      </w:r>
      <w:r w:rsidR="00192DB3" w:rsidRPr="00A34CD9">
        <w:rPr>
          <w:rFonts w:cstheme="minorHAnsi"/>
          <w:lang w:val="en-GB"/>
        </w:rPr>
        <w:t xml:space="preserve">. </w:t>
      </w:r>
      <w:r w:rsidR="00936226" w:rsidRPr="00A34CD9">
        <w:rPr>
          <w:rFonts w:cstheme="minorHAnsi"/>
          <w:lang w:val="en-GB"/>
        </w:rPr>
        <w:t xml:space="preserve">This transparent, </w:t>
      </w:r>
      <w:proofErr w:type="gramStart"/>
      <w:r w:rsidR="00936226" w:rsidRPr="00A34CD9">
        <w:rPr>
          <w:rFonts w:cstheme="minorHAnsi"/>
          <w:lang w:val="en-GB"/>
        </w:rPr>
        <w:t>standardised</w:t>
      </w:r>
      <w:proofErr w:type="gramEnd"/>
      <w:r w:rsidR="00936226" w:rsidRPr="00A34CD9">
        <w:rPr>
          <w:rFonts w:cstheme="minorHAnsi"/>
          <w:lang w:val="en-GB"/>
        </w:rPr>
        <w:t xml:space="preserve"> and repeatable procedure developed</w:t>
      </w:r>
      <w:r w:rsidR="003B03C3" w:rsidRPr="00A34CD9">
        <w:rPr>
          <w:rFonts w:cstheme="minorHAnsi"/>
          <w:lang w:val="en-GB"/>
        </w:rPr>
        <w:t xml:space="preserve"> across a 7-year period (2013-2019) enable to advance</w:t>
      </w:r>
      <w:r w:rsidR="00EB53F1" w:rsidRPr="00A34CD9">
        <w:rPr>
          <w:rFonts w:cstheme="minorHAnsi"/>
          <w:lang w:val="en-GB"/>
        </w:rPr>
        <w:t xml:space="preserve"> and achieve</w:t>
      </w:r>
      <w:r w:rsidR="003B03C3" w:rsidRPr="00A34CD9">
        <w:rPr>
          <w:rFonts w:cstheme="minorHAnsi"/>
          <w:lang w:val="en-GB"/>
        </w:rPr>
        <w:t xml:space="preserve"> the </w:t>
      </w:r>
      <w:r w:rsidR="00245717" w:rsidRPr="00A34CD9">
        <w:rPr>
          <w:rFonts w:cstheme="minorHAnsi"/>
          <w:lang w:val="en-GB"/>
        </w:rPr>
        <w:t>EBFM</w:t>
      </w:r>
      <w:r w:rsidR="003B03C3" w:rsidRPr="00A34CD9">
        <w:rPr>
          <w:rFonts w:cstheme="minorHAnsi"/>
          <w:lang w:val="en-GB"/>
        </w:rPr>
        <w:t xml:space="preserve"> </w:t>
      </w:r>
      <w:r w:rsidR="00EB53F1" w:rsidRPr="00A34CD9">
        <w:rPr>
          <w:rFonts w:cstheme="minorHAnsi"/>
          <w:lang w:val="en-GB"/>
        </w:rPr>
        <w:t>goals</w:t>
      </w:r>
      <w:r w:rsidR="003B03C3" w:rsidRPr="00A34CD9">
        <w:rPr>
          <w:rFonts w:cstheme="minorHAnsi"/>
          <w:lang w:val="en-GB"/>
        </w:rPr>
        <w:t>.</w:t>
      </w:r>
    </w:p>
    <w:bookmarkEnd w:id="18"/>
    <w:p w14:paraId="705E79ED" w14:textId="72BF03DF" w:rsidR="00F37CE8" w:rsidRPr="00A34CD9" w:rsidRDefault="00681F69" w:rsidP="002A528E">
      <w:pPr>
        <w:pStyle w:val="Ttulo1"/>
        <w:numPr>
          <w:ilvl w:val="0"/>
          <w:numId w:val="1"/>
        </w:numPr>
        <w:suppressLineNumbers/>
        <w:rPr>
          <w:rFonts w:asciiTheme="minorHAnsi" w:hAnsiTheme="minorHAnsi" w:cstheme="minorHAnsi"/>
          <w:lang w:val="en-GB"/>
        </w:rPr>
      </w:pPr>
      <w:r w:rsidRPr="00A34CD9">
        <w:rPr>
          <w:rFonts w:asciiTheme="minorHAnsi" w:hAnsiTheme="minorHAnsi" w:cstheme="minorHAnsi"/>
          <w:lang w:val="en-GB"/>
        </w:rPr>
        <w:t xml:space="preserve">MATERIAL AND </w:t>
      </w:r>
      <w:r w:rsidR="003E3CEC" w:rsidRPr="00A34CD9">
        <w:rPr>
          <w:rFonts w:asciiTheme="minorHAnsi" w:hAnsiTheme="minorHAnsi" w:cstheme="minorHAnsi"/>
          <w:lang w:val="en-GB"/>
        </w:rPr>
        <w:t>METHODS</w:t>
      </w:r>
    </w:p>
    <w:p w14:paraId="5D9534F2" w14:textId="393F6B86" w:rsidR="00B44992" w:rsidRPr="00A34CD9" w:rsidRDefault="008D24F4" w:rsidP="002A528E">
      <w:pPr>
        <w:suppressLineNumbers/>
        <w:spacing w:line="480" w:lineRule="auto"/>
        <w:outlineLvl w:val="1"/>
        <w:rPr>
          <w:rFonts w:cstheme="minorHAnsi"/>
          <w:b/>
          <w:bCs/>
          <w:sz w:val="24"/>
          <w:szCs w:val="24"/>
          <w:lang w:val="en-GB"/>
        </w:rPr>
      </w:pPr>
      <w:r w:rsidRPr="00A34CD9">
        <w:rPr>
          <w:rFonts w:cstheme="minorHAnsi"/>
          <w:b/>
          <w:bCs/>
          <w:sz w:val="24"/>
          <w:szCs w:val="24"/>
          <w:lang w:val="en-GB"/>
        </w:rPr>
        <w:t xml:space="preserve">2.1. </w:t>
      </w:r>
      <w:r w:rsidR="0014627E" w:rsidRPr="00A34CD9">
        <w:rPr>
          <w:rFonts w:cstheme="minorHAnsi"/>
          <w:b/>
          <w:bCs/>
          <w:sz w:val="24"/>
          <w:szCs w:val="24"/>
          <w:lang w:val="en-GB"/>
        </w:rPr>
        <w:t>Data acquisition</w:t>
      </w:r>
    </w:p>
    <w:p w14:paraId="38BE04D5" w14:textId="5F4A6BF7" w:rsidR="00B44992" w:rsidRPr="00A34CD9" w:rsidRDefault="0014627E" w:rsidP="002A528E">
      <w:pPr>
        <w:suppressLineNumbers/>
        <w:spacing w:line="480" w:lineRule="auto"/>
        <w:jc w:val="both"/>
        <w:rPr>
          <w:rFonts w:cstheme="minorHAnsi"/>
          <w:lang w:val="en-GB"/>
        </w:rPr>
      </w:pPr>
      <w:r w:rsidRPr="00A34CD9">
        <w:rPr>
          <w:rFonts w:cstheme="minorHAnsi"/>
          <w:lang w:val="en-GB"/>
        </w:rPr>
        <w:t xml:space="preserve">Seabird at-sea observations, biomass estimates of pelagic prey species and </w:t>
      </w:r>
      <w:r w:rsidR="00D5010E">
        <w:rPr>
          <w:rFonts w:cstheme="minorHAnsi"/>
          <w:lang w:val="en-GB"/>
        </w:rPr>
        <w:t>physical</w:t>
      </w:r>
      <w:r w:rsidRPr="00A34CD9">
        <w:rPr>
          <w:rFonts w:cstheme="minorHAnsi"/>
          <w:lang w:val="en-GB"/>
        </w:rPr>
        <w:t xml:space="preserve"> data were gathered during the JUVENA </w:t>
      </w:r>
      <w:r w:rsidR="00553B3E" w:rsidRPr="00A34CD9">
        <w:rPr>
          <w:rFonts w:cstheme="minorHAnsi"/>
          <w:lang w:val="en-GB"/>
        </w:rPr>
        <w:t xml:space="preserve">oceanographic </w:t>
      </w:r>
      <w:r w:rsidR="00B44992" w:rsidRPr="00A34CD9">
        <w:rPr>
          <w:rFonts w:cstheme="minorHAnsi"/>
          <w:lang w:val="en-GB"/>
        </w:rPr>
        <w:t>surveys</w:t>
      </w:r>
      <w:r w:rsidR="005D3841" w:rsidRPr="00A34CD9">
        <w:rPr>
          <w:rFonts w:cstheme="minorHAnsi"/>
          <w:lang w:val="en-GB"/>
        </w:rPr>
        <w:t xml:space="preserve"> over the period 2013-2019</w:t>
      </w:r>
      <w:r w:rsidR="0038060D" w:rsidRPr="00A34CD9">
        <w:rPr>
          <w:rFonts w:cstheme="minorHAnsi"/>
          <w:lang w:val="en-GB"/>
        </w:rPr>
        <w:t>. JUVENA surveys</w:t>
      </w:r>
      <w:r w:rsidR="00B44992" w:rsidRPr="00A34CD9">
        <w:rPr>
          <w:rFonts w:cstheme="minorHAnsi"/>
          <w:lang w:val="en-GB"/>
        </w:rPr>
        <w:t xml:space="preserve"> </w:t>
      </w:r>
      <w:r w:rsidR="00734D70" w:rsidRPr="00A34CD9">
        <w:rPr>
          <w:rFonts w:cstheme="minorHAnsi"/>
          <w:lang w:val="en-GB"/>
        </w:rPr>
        <w:t>take</w:t>
      </w:r>
      <w:r w:rsidR="00B44992" w:rsidRPr="00A34CD9">
        <w:rPr>
          <w:rFonts w:cstheme="minorHAnsi"/>
          <w:lang w:val="en-GB"/>
        </w:rPr>
        <w:t xml:space="preserve"> place yearly during September </w:t>
      </w:r>
      <w:r w:rsidR="00553B3E" w:rsidRPr="00A34CD9">
        <w:rPr>
          <w:rFonts w:cstheme="minorHAnsi"/>
          <w:lang w:val="en-GB"/>
        </w:rPr>
        <w:t xml:space="preserve">covering </w:t>
      </w:r>
      <w:r w:rsidR="004E7CD8" w:rsidRPr="00A34CD9">
        <w:rPr>
          <w:rFonts w:cstheme="minorHAnsi"/>
          <w:lang w:val="en-GB"/>
        </w:rPr>
        <w:t>offshore and</w:t>
      </w:r>
      <w:r w:rsidR="00553B3E" w:rsidRPr="00A34CD9">
        <w:rPr>
          <w:rFonts w:cstheme="minorHAnsi"/>
          <w:lang w:val="en-GB"/>
        </w:rPr>
        <w:t xml:space="preserve"> shelf-slope areas of the </w:t>
      </w:r>
      <w:proofErr w:type="spellStart"/>
      <w:r w:rsidR="00912B2F" w:rsidRPr="00A34CD9">
        <w:rPr>
          <w:rFonts w:cstheme="minorHAnsi"/>
          <w:lang w:val="en-GB"/>
        </w:rPr>
        <w:t>BoB</w:t>
      </w:r>
      <w:proofErr w:type="spellEnd"/>
      <w:r w:rsidR="0011604A" w:rsidRPr="00A34CD9">
        <w:rPr>
          <w:rFonts w:cstheme="minorHAnsi"/>
          <w:lang w:val="en-GB"/>
        </w:rPr>
        <w:t xml:space="preserve"> with t</w:t>
      </w:r>
      <w:r w:rsidR="00553B3E" w:rsidRPr="00A34CD9">
        <w:rPr>
          <w:rFonts w:cstheme="minorHAnsi"/>
          <w:lang w:val="en-GB"/>
        </w:rPr>
        <w:t xml:space="preserve">he aim of </w:t>
      </w:r>
      <w:r w:rsidR="007E16CD" w:rsidRPr="00A34CD9">
        <w:rPr>
          <w:rFonts w:cstheme="minorHAnsi"/>
          <w:lang w:val="en-GB"/>
        </w:rPr>
        <w:t>acoustically assessing</w:t>
      </w:r>
      <w:r w:rsidR="0011604A" w:rsidRPr="00A34CD9">
        <w:rPr>
          <w:rFonts w:cstheme="minorHAnsi"/>
          <w:lang w:val="en-GB"/>
        </w:rPr>
        <w:t xml:space="preserve"> the </w:t>
      </w:r>
      <w:r w:rsidR="007E16CD" w:rsidRPr="00A34CD9">
        <w:rPr>
          <w:rFonts w:cstheme="minorHAnsi"/>
          <w:lang w:val="en-GB"/>
        </w:rPr>
        <w:t>biomass</w:t>
      </w:r>
      <w:r w:rsidR="0011604A" w:rsidRPr="00A34CD9">
        <w:rPr>
          <w:rFonts w:cstheme="minorHAnsi"/>
          <w:lang w:val="en-GB"/>
        </w:rPr>
        <w:t xml:space="preserve"> of </w:t>
      </w:r>
      <w:r w:rsidR="0031301B" w:rsidRPr="00A34CD9">
        <w:rPr>
          <w:rFonts w:cstheme="minorHAnsi"/>
          <w:lang w:val="en-GB"/>
        </w:rPr>
        <w:t xml:space="preserve">the </w:t>
      </w:r>
      <w:r w:rsidR="0011604A" w:rsidRPr="00A34CD9">
        <w:rPr>
          <w:rFonts w:cstheme="minorHAnsi"/>
          <w:lang w:val="en-GB"/>
        </w:rPr>
        <w:t>European anchovy (</w:t>
      </w:r>
      <w:proofErr w:type="spellStart"/>
      <w:r w:rsidR="0011604A" w:rsidRPr="00A34CD9">
        <w:rPr>
          <w:rFonts w:cstheme="minorHAnsi"/>
          <w:i/>
          <w:iCs/>
          <w:lang w:val="en-GB"/>
        </w:rPr>
        <w:t>Engraulis</w:t>
      </w:r>
      <w:proofErr w:type="spellEnd"/>
      <w:r w:rsidR="0011604A" w:rsidRPr="00A34CD9">
        <w:rPr>
          <w:rFonts w:cstheme="minorHAnsi"/>
          <w:i/>
          <w:iCs/>
          <w:lang w:val="en-GB"/>
        </w:rPr>
        <w:t xml:space="preserve"> </w:t>
      </w:r>
      <w:proofErr w:type="spellStart"/>
      <w:r w:rsidR="0011604A" w:rsidRPr="00A34CD9">
        <w:rPr>
          <w:rFonts w:cstheme="minorHAnsi"/>
          <w:i/>
          <w:iCs/>
          <w:lang w:val="en-GB"/>
        </w:rPr>
        <w:t>encrasicolus</w:t>
      </w:r>
      <w:proofErr w:type="spellEnd"/>
      <w:r w:rsidR="0011604A" w:rsidRPr="00A34CD9">
        <w:rPr>
          <w:rFonts w:cstheme="minorHAnsi"/>
          <w:lang w:val="en-GB"/>
        </w:rPr>
        <w:t>) and other small pelagic fish</w:t>
      </w:r>
      <w:r w:rsidR="0031301B" w:rsidRPr="00A34CD9">
        <w:rPr>
          <w:rFonts w:cstheme="minorHAnsi"/>
          <w:lang w:val="en-GB"/>
        </w:rPr>
        <w:t>es</w:t>
      </w:r>
      <w:r w:rsidR="0011604A" w:rsidRPr="00A34CD9">
        <w:rPr>
          <w:rFonts w:cstheme="minorHAnsi"/>
          <w:lang w:val="en-GB"/>
        </w:rPr>
        <w:t xml:space="preserve"> </w:t>
      </w:r>
      <w:r w:rsidR="0011604A" w:rsidRPr="00A34CD9">
        <w:rPr>
          <w:rFonts w:cstheme="minorHAnsi"/>
          <w:lang w:val="en-GB"/>
        </w:rPr>
        <w:fldChar w:fldCharType="begin" w:fldLock="1"/>
      </w:r>
      <w:r w:rsidR="00E823DE" w:rsidRPr="00A34CD9">
        <w:rPr>
          <w:rFonts w:cstheme="minorHAnsi"/>
          <w:lang w:val="en-GB"/>
        </w:rPr>
        <w:instrText>ADDIN CSL_CITATION {"citationItems":[{"id":"ITEM-1","itemData":{"DOI":"10.1093/icesjms/fst096","ISSN":"10543139","abstract":"Abstract Boyra, G., Mart{í}nez, U., Cotano, U., Santos, M., Irigoien, X., and Uriarte, A. 2013. Acoustic surveys for juvenile anchovy in the Bay of Biscay : abundance estimate as an indicator of the next year's recruitment and spatial distribution patterns .--ICES Journal of ... \\n","author":[{"dropping-particle":"","family":"Boyra","given":"G.","non-dropping-particle":"","parse-names":false,"suffix":""},{"dropping-particle":"","family":"Martínez","given":"U.","non-dropping-particle":"","parse-names":false,"suffix":""},{"dropping-particle":"","family":"Cotano","given":"U.","non-dropping-particle":"","parse-names":false,"suffix":""},{"dropping-particle":"","family":"Santos","given":"M.","non-dropping-particle":"","parse-names":false,"suffix":""},{"dropping-particle":"","family":"Irigoien","given":"X.","non-dropping-particle":"","parse-names":false,"suffix":""},{"dropping-particle":"","family":"Uriarte","given":"A.","non-dropping-particle":"","parse-names":false,"suffix":""}],"container-title":"ICES Journal of Marine Science","id":"ITEM-1","issue":"7","issued":{"date-parts":[["2013"]]},"page":"1354-1368","title":"Acoustic surveys for juvenile anchovy in the Bay of Biscay: Abundance estimate as an indicator of the next year's recruitment and spatial distribution patterns","type":"article-journal","volume":"70"},"uris":["http://www.mendeley.com/documents/?uuid=c5ec39a0-334e-353e-826b-146708de48b3"]}],"mendeley":{"formattedCitation":"(Boyra &lt;i&gt;et al.&lt;/i&gt;, 2013)","plainTextFormattedCitation":"(Boyra et al., 2013)","previouslyFormattedCitation":"(Boyra &lt;i&gt;et al.&lt;/i&gt;, 2013)"},"properties":{"noteIndex":0},"schema":"https://github.com/citation-style-language/schema/raw/master/csl-citation.json"}</w:instrText>
      </w:r>
      <w:r w:rsidR="0011604A" w:rsidRPr="00A34CD9">
        <w:rPr>
          <w:rFonts w:cstheme="minorHAnsi"/>
          <w:lang w:val="en-GB"/>
        </w:rPr>
        <w:fldChar w:fldCharType="separate"/>
      </w:r>
      <w:r w:rsidR="003600F9" w:rsidRPr="00A34CD9">
        <w:rPr>
          <w:rFonts w:cstheme="minorHAnsi"/>
          <w:noProof/>
          <w:lang w:val="en-GB"/>
        </w:rPr>
        <w:t xml:space="preserve">(Boyra </w:t>
      </w:r>
      <w:r w:rsidR="003600F9" w:rsidRPr="00A34CD9">
        <w:rPr>
          <w:rFonts w:cstheme="minorHAnsi"/>
          <w:i/>
          <w:noProof/>
          <w:lang w:val="en-GB"/>
        </w:rPr>
        <w:t>et al.</w:t>
      </w:r>
      <w:r w:rsidR="003600F9" w:rsidRPr="00A34CD9">
        <w:rPr>
          <w:rFonts w:cstheme="minorHAnsi"/>
          <w:noProof/>
          <w:lang w:val="en-GB"/>
        </w:rPr>
        <w:t>, 2013)</w:t>
      </w:r>
      <w:r w:rsidR="0011604A" w:rsidRPr="00A34CD9">
        <w:rPr>
          <w:rFonts w:cstheme="minorHAnsi"/>
          <w:lang w:val="en-GB"/>
        </w:rPr>
        <w:fldChar w:fldCharType="end"/>
      </w:r>
      <w:r w:rsidR="0011604A" w:rsidRPr="00A34CD9">
        <w:rPr>
          <w:rFonts w:cstheme="minorHAnsi"/>
          <w:lang w:val="en-GB"/>
        </w:rPr>
        <w:t>.</w:t>
      </w:r>
      <w:r w:rsidR="007E16CD" w:rsidRPr="00A34CD9">
        <w:rPr>
          <w:rFonts w:cstheme="minorHAnsi"/>
          <w:lang w:val="en-GB"/>
        </w:rPr>
        <w:t xml:space="preserve"> The sampling strategy is based on parallel transects arranged perpendicular to the coast, regularly spaced at 15 nautical miles (</w:t>
      </w:r>
      <w:proofErr w:type="spellStart"/>
      <w:r w:rsidR="007E16CD" w:rsidRPr="00A34CD9">
        <w:rPr>
          <w:rFonts w:cstheme="minorHAnsi"/>
          <w:lang w:val="en-GB"/>
        </w:rPr>
        <w:t>nmi</w:t>
      </w:r>
      <w:proofErr w:type="spellEnd"/>
      <w:r w:rsidR="007E16CD" w:rsidRPr="00A34CD9">
        <w:rPr>
          <w:rFonts w:cstheme="minorHAnsi"/>
          <w:lang w:val="en-GB"/>
        </w:rPr>
        <w:t xml:space="preserve">). Data were collected by two research vessels </w:t>
      </w:r>
      <w:r w:rsidR="00687092" w:rsidRPr="00A34CD9">
        <w:rPr>
          <w:rFonts w:cstheme="minorHAnsi"/>
          <w:lang w:val="en-GB"/>
        </w:rPr>
        <w:t>simultaneously covering the area potentially occupied by the European anchovy.</w:t>
      </w:r>
    </w:p>
    <w:p w14:paraId="1EC5E979" w14:textId="3D2F376F" w:rsidR="004E7CD8" w:rsidRPr="00A34CD9" w:rsidRDefault="004E7CD8" w:rsidP="002A528E">
      <w:pPr>
        <w:pStyle w:val="Prrafodelista"/>
        <w:numPr>
          <w:ilvl w:val="2"/>
          <w:numId w:val="3"/>
        </w:numPr>
        <w:suppressLineNumbers/>
        <w:spacing w:line="480" w:lineRule="auto"/>
        <w:ind w:left="993" w:hanging="633"/>
        <w:outlineLvl w:val="2"/>
        <w:rPr>
          <w:rFonts w:cstheme="minorHAnsi"/>
          <w:b/>
          <w:bCs/>
          <w:lang w:val="en-GB"/>
        </w:rPr>
      </w:pPr>
      <w:r w:rsidRPr="00A34CD9">
        <w:rPr>
          <w:rFonts w:cstheme="minorHAnsi"/>
          <w:b/>
          <w:bCs/>
          <w:lang w:val="en-GB"/>
        </w:rPr>
        <w:t>Seabird data</w:t>
      </w:r>
    </w:p>
    <w:p w14:paraId="77EE852D" w14:textId="2355BF35" w:rsidR="005C1E3B" w:rsidRPr="00A34CD9" w:rsidRDefault="00A160D9" w:rsidP="002A528E">
      <w:pPr>
        <w:suppressLineNumbers/>
        <w:spacing w:line="480" w:lineRule="auto"/>
        <w:jc w:val="both"/>
        <w:rPr>
          <w:rFonts w:cstheme="minorHAnsi"/>
          <w:lang w:val="en-GB"/>
        </w:rPr>
      </w:pPr>
      <w:r w:rsidRPr="00A34CD9">
        <w:rPr>
          <w:rFonts w:cstheme="minorHAnsi"/>
          <w:lang w:val="en-GB"/>
        </w:rPr>
        <w:t>Great shearwaters a</w:t>
      </w:r>
      <w:r w:rsidR="003B4A12" w:rsidRPr="00A34CD9">
        <w:rPr>
          <w:rFonts w:cstheme="minorHAnsi"/>
          <w:lang w:val="en-GB"/>
        </w:rPr>
        <w:t>t‐sea observations</w:t>
      </w:r>
      <w:r w:rsidR="00002039" w:rsidRPr="00A34CD9">
        <w:rPr>
          <w:rFonts w:cstheme="minorHAnsi"/>
          <w:lang w:val="en-GB"/>
        </w:rPr>
        <w:t xml:space="preserve"> </w:t>
      </w:r>
      <w:r w:rsidR="003B4A12" w:rsidRPr="00A34CD9">
        <w:rPr>
          <w:rFonts w:cstheme="minorHAnsi"/>
          <w:lang w:val="en-GB"/>
        </w:rPr>
        <w:t>were collected</w:t>
      </w:r>
      <w:r w:rsidR="008A3E23" w:rsidRPr="00A34CD9">
        <w:rPr>
          <w:rFonts w:cstheme="minorHAnsi"/>
          <w:lang w:val="en-GB"/>
        </w:rPr>
        <w:t xml:space="preserve"> by two observers</w:t>
      </w:r>
      <w:r w:rsidR="003B4A12" w:rsidRPr="00A34CD9">
        <w:rPr>
          <w:rFonts w:cstheme="minorHAnsi"/>
          <w:lang w:val="en-GB"/>
        </w:rPr>
        <w:t xml:space="preserve"> </w:t>
      </w:r>
      <w:r w:rsidR="003F5ECF" w:rsidRPr="00A34CD9">
        <w:rPr>
          <w:rFonts w:cstheme="minorHAnsi"/>
          <w:lang w:val="en-GB"/>
        </w:rPr>
        <w:t xml:space="preserve">following visual line‐transect protocols </w:t>
      </w:r>
      <w:r w:rsidR="003F5ECF" w:rsidRPr="00A34CD9">
        <w:rPr>
          <w:rFonts w:cstheme="minorHAnsi"/>
          <w:lang w:val="en-GB"/>
        </w:rPr>
        <w:fldChar w:fldCharType="begin" w:fldLock="1"/>
      </w:r>
      <w:r w:rsidR="005E336E" w:rsidRPr="00A34CD9">
        <w:rPr>
          <w:rFonts w:cstheme="minorHAnsi"/>
          <w:lang w:val="en-GB"/>
        </w:rPr>
        <w:instrText>ADDIN CSL_CITATION {"citationItems":[{"id":"ITEM-1","itemData":{"DOI":"10.1007/s00531-004-0408-5","ISBN":"0198509278","ISSN":"10510761","PMID":"216","abstract":"Offers a comprehensive introduction to distance sampling, a statistical method used by many biologists and conservationists to estimate animal abundance. The text discusses point transect sampling and line transect sampling and also describes several other related techniques. There are updates on study design and field methods, laser range finders, theodolites and the GPS and advice is given on a wide range of survey methods. Analysis methods have also been generalized, through the use of various types of multiplier and exercises for students in wildlife and conservation management are included.","author":[{"dropping-particle":"","family":"Buckland","given":"S T","non-dropping-particle":"","parse-names":false,"suffix":""},{"dropping-particle":"","family":"Anderson","given":"D R","non-dropping-particle":"","parse-names":false,"suffix":""},{"dropping-particle":"","family":"Burnham","given":"K P","non-dropping-particle":"","parse-names":false,"suffix":""},{"dropping-particle":"","family":"Laake","given":"J L","non-dropping-particle":"","parse-names":false,"suffix":""},{"dropping-particle":"","family":"Borchers","given":"D L","non-dropping-particle":"","parse-names":false,"suffix":""},{"dropping-particle":"","family":"Thomas","given":"L","non-dropping-particle":"","parse-names":false,"suffix":""}],"id":"ITEM-1","issued":{"date-parts":[["2001"]]},"number-of-pages":"432","publisher":"Oxford University Press. Oxford","title":"Introduction to distance sampling: estimating abundance of biological populations","type":"book","volume":"10"},"uris":["http://www.mendeley.com/documents/?uuid=015563b0-600d-3cbd-946a-819fa6408127"]}],"mendeley":{"formattedCitation":"(Buckland &lt;i&gt;et al.&lt;/i&gt;, 2001)","plainTextFormattedCitation":"(Buckland et al., 2001)","previouslyFormattedCitation":"(Buckland &lt;i&gt;et al.&lt;/i&gt;, 2001)"},"properties":{"noteIndex":0},"schema":"https://github.com/citation-style-language/schema/raw/master/csl-citation.json"}</w:instrText>
      </w:r>
      <w:r w:rsidR="003F5ECF" w:rsidRPr="00A34CD9">
        <w:rPr>
          <w:rFonts w:cstheme="minorHAnsi"/>
          <w:lang w:val="en-GB"/>
        </w:rPr>
        <w:fldChar w:fldCharType="separate"/>
      </w:r>
      <w:r w:rsidR="003600F9" w:rsidRPr="00A34CD9">
        <w:rPr>
          <w:rFonts w:cstheme="minorHAnsi"/>
          <w:noProof/>
          <w:lang w:val="en-GB"/>
        </w:rPr>
        <w:t xml:space="preserve">(Buckland </w:t>
      </w:r>
      <w:r w:rsidR="003600F9" w:rsidRPr="00A34CD9">
        <w:rPr>
          <w:rFonts w:cstheme="minorHAnsi"/>
          <w:i/>
          <w:noProof/>
          <w:lang w:val="en-GB"/>
        </w:rPr>
        <w:t>et al.</w:t>
      </w:r>
      <w:r w:rsidR="003600F9" w:rsidRPr="00A34CD9">
        <w:rPr>
          <w:rFonts w:cstheme="minorHAnsi"/>
          <w:noProof/>
          <w:lang w:val="en-GB"/>
        </w:rPr>
        <w:t>, 2001)</w:t>
      </w:r>
      <w:r w:rsidR="003F5ECF" w:rsidRPr="00A34CD9">
        <w:rPr>
          <w:rFonts w:cstheme="minorHAnsi"/>
          <w:lang w:val="en-GB"/>
        </w:rPr>
        <w:fldChar w:fldCharType="end"/>
      </w:r>
      <w:r w:rsidR="003F5ECF" w:rsidRPr="00A34CD9">
        <w:rPr>
          <w:rFonts w:cstheme="minorHAnsi"/>
          <w:lang w:val="en-GB"/>
        </w:rPr>
        <w:t xml:space="preserve"> </w:t>
      </w:r>
      <w:r w:rsidRPr="00A34CD9">
        <w:rPr>
          <w:rFonts w:cstheme="minorHAnsi"/>
          <w:lang w:val="en-GB"/>
        </w:rPr>
        <w:t xml:space="preserve">along acoustic transects when the R/V was navigating at constant heading </w:t>
      </w:r>
      <w:r w:rsidRPr="00A34CD9">
        <w:rPr>
          <w:rFonts w:cstheme="minorHAnsi"/>
          <w:lang w:val="en-GB"/>
        </w:rPr>
        <w:lastRenderedPageBreak/>
        <w:t>and speed during daytime.</w:t>
      </w:r>
      <w:r w:rsidR="008A3E23" w:rsidRPr="00A34CD9">
        <w:rPr>
          <w:rFonts w:cstheme="minorHAnsi"/>
          <w:lang w:val="en-GB"/>
        </w:rPr>
        <w:t xml:space="preserve"> </w:t>
      </w:r>
      <w:r w:rsidR="0006038D" w:rsidRPr="00A34CD9">
        <w:rPr>
          <w:rFonts w:cstheme="minorHAnsi"/>
          <w:lang w:val="en-GB"/>
        </w:rPr>
        <w:t xml:space="preserve">For each </w:t>
      </w:r>
      <w:r w:rsidR="00AE48A6" w:rsidRPr="00A34CD9">
        <w:rPr>
          <w:rFonts w:cstheme="minorHAnsi"/>
          <w:lang w:val="en-GB"/>
        </w:rPr>
        <w:t xml:space="preserve">species </w:t>
      </w:r>
      <w:r w:rsidR="0006038D" w:rsidRPr="00A34CD9">
        <w:rPr>
          <w:rFonts w:cstheme="minorHAnsi"/>
          <w:lang w:val="en-GB"/>
        </w:rPr>
        <w:t>sighting, observers recorded detection distance and the angle with respect to the track line based on an angle mete</w:t>
      </w:r>
      <w:r w:rsidR="002241FF" w:rsidRPr="00A34CD9">
        <w:rPr>
          <w:rFonts w:cstheme="minorHAnsi"/>
          <w:lang w:val="en-GB"/>
        </w:rPr>
        <w:t>r</w:t>
      </w:r>
      <w:r w:rsidR="0006038D" w:rsidRPr="00A34CD9">
        <w:rPr>
          <w:rFonts w:cstheme="minorHAnsi"/>
          <w:lang w:val="en-GB"/>
        </w:rPr>
        <w:t xml:space="preserve">. </w:t>
      </w:r>
      <w:r w:rsidR="00AE48A6" w:rsidRPr="00A34CD9">
        <w:rPr>
          <w:rFonts w:cstheme="minorHAnsi"/>
          <w:lang w:val="en-GB"/>
        </w:rPr>
        <w:t>At the beginning of each observation period</w:t>
      </w:r>
      <w:r w:rsidR="00AE126F" w:rsidRPr="00A34CD9">
        <w:rPr>
          <w:rFonts w:cstheme="minorHAnsi"/>
          <w:lang w:val="en-GB"/>
        </w:rPr>
        <w:t xml:space="preserve"> (</w:t>
      </w:r>
      <w:r w:rsidR="00AE126F" w:rsidRPr="00A34CD9">
        <w:rPr>
          <w:rFonts w:cstheme="minorHAnsi"/>
          <w:i/>
          <w:iCs/>
          <w:lang w:val="en-GB"/>
        </w:rPr>
        <w:t>leg</w:t>
      </w:r>
      <w:r w:rsidR="00AE126F" w:rsidRPr="00A34CD9">
        <w:rPr>
          <w:rFonts w:cstheme="minorHAnsi"/>
          <w:lang w:val="en-GB"/>
        </w:rPr>
        <w:t>)</w:t>
      </w:r>
      <w:r w:rsidR="00AE48A6" w:rsidRPr="00A34CD9">
        <w:rPr>
          <w:rFonts w:cstheme="minorHAnsi"/>
          <w:lang w:val="en-GB"/>
        </w:rPr>
        <w:t xml:space="preserve">, </w:t>
      </w:r>
      <w:r w:rsidR="0006038D" w:rsidRPr="00A34CD9">
        <w:rPr>
          <w:rFonts w:cstheme="minorHAnsi"/>
          <w:lang w:val="en-GB"/>
        </w:rPr>
        <w:t xml:space="preserve">observers recorded </w:t>
      </w:r>
      <w:r w:rsidR="00AE48A6" w:rsidRPr="00A34CD9">
        <w:rPr>
          <w:rFonts w:cstheme="minorHAnsi"/>
          <w:lang w:val="en-GB"/>
        </w:rPr>
        <w:t xml:space="preserve">the </w:t>
      </w:r>
      <w:r w:rsidR="00A969EC" w:rsidRPr="00A34CD9">
        <w:rPr>
          <w:rFonts w:cstheme="minorHAnsi"/>
          <w:lang w:val="en-GB"/>
        </w:rPr>
        <w:t>environmental</w:t>
      </w:r>
      <w:r w:rsidR="00AE48A6" w:rsidRPr="00A34CD9">
        <w:rPr>
          <w:rFonts w:cstheme="minorHAnsi"/>
          <w:lang w:val="en-GB"/>
        </w:rPr>
        <w:t xml:space="preserve"> conditions that could affect sightings (</w:t>
      </w:r>
      <w:r w:rsidR="00AF72F1" w:rsidRPr="00A34CD9">
        <w:rPr>
          <w:rFonts w:cstheme="minorHAnsi"/>
          <w:i/>
          <w:iCs/>
          <w:lang w:val="en-GB"/>
        </w:rPr>
        <w:t>i.e.</w:t>
      </w:r>
      <w:r w:rsidR="00101191" w:rsidRPr="00A34CD9">
        <w:rPr>
          <w:rFonts w:cstheme="minorHAnsi"/>
          <w:i/>
          <w:iCs/>
          <w:lang w:val="en-GB"/>
        </w:rPr>
        <w:t>,</w:t>
      </w:r>
      <w:r w:rsidR="00AE48A6" w:rsidRPr="00A34CD9">
        <w:rPr>
          <w:rFonts w:cstheme="minorHAnsi"/>
          <w:lang w:val="en-GB"/>
        </w:rPr>
        <w:t xml:space="preserve"> </w:t>
      </w:r>
      <w:r w:rsidR="0006038D" w:rsidRPr="00A34CD9">
        <w:rPr>
          <w:rFonts w:cstheme="minorHAnsi"/>
          <w:lang w:val="en-GB"/>
        </w:rPr>
        <w:t>Beaufort sea state, swell height and direction, wind speed and direction, cloud coverage, visibility, sun glare and an overall subjective assessment of detection conditions of the sightings</w:t>
      </w:r>
      <w:r w:rsidR="00C11607" w:rsidRPr="00A34CD9">
        <w:rPr>
          <w:rFonts w:cstheme="minorHAnsi"/>
          <w:lang w:val="en-GB"/>
        </w:rPr>
        <w:t xml:space="preserve">). </w:t>
      </w:r>
      <w:r w:rsidR="00AE48A6" w:rsidRPr="00A34CD9">
        <w:rPr>
          <w:rFonts w:cstheme="minorHAnsi"/>
          <w:lang w:val="en-GB"/>
        </w:rPr>
        <w:t>Observation effort was georeferenced every minute with the vessel</w:t>
      </w:r>
      <w:r w:rsidR="00A274E1" w:rsidRPr="00A34CD9">
        <w:rPr>
          <w:rFonts w:cstheme="minorHAnsi"/>
          <w:lang w:val="en-GB"/>
        </w:rPr>
        <w:t>’s</w:t>
      </w:r>
      <w:r w:rsidR="00AE48A6" w:rsidRPr="00A34CD9">
        <w:rPr>
          <w:rFonts w:cstheme="minorHAnsi"/>
          <w:lang w:val="en-GB"/>
        </w:rPr>
        <w:t xml:space="preserve"> GPS</w:t>
      </w:r>
      <w:r w:rsidR="00764AE5" w:rsidRPr="00A34CD9">
        <w:rPr>
          <w:rFonts w:cstheme="minorHAnsi"/>
          <w:lang w:val="en-GB"/>
        </w:rPr>
        <w:t xml:space="preserve"> (</w:t>
      </w:r>
      <w:r w:rsidR="00275DE1" w:rsidRPr="00A34CD9">
        <w:rPr>
          <w:rFonts w:cstheme="minorHAnsi"/>
          <w:noProof/>
          <w:lang w:val="en-GB"/>
        </w:rPr>
        <w:t xml:space="preserve">García-Barón </w:t>
      </w:r>
      <w:r w:rsidR="00275DE1" w:rsidRPr="00A34CD9">
        <w:rPr>
          <w:rFonts w:cstheme="minorHAnsi"/>
          <w:i/>
          <w:noProof/>
          <w:lang w:val="en-GB"/>
        </w:rPr>
        <w:t>et al.</w:t>
      </w:r>
      <w:r w:rsidR="00764AE5" w:rsidRPr="00A34CD9">
        <w:rPr>
          <w:rFonts w:cstheme="minorHAnsi"/>
          <w:noProof/>
          <w:lang w:val="en-GB"/>
        </w:rPr>
        <w:t xml:space="preserve">, </w:t>
      </w:r>
      <w:r w:rsidR="00275DE1" w:rsidRPr="00A34CD9">
        <w:rPr>
          <w:rFonts w:cstheme="minorHAnsi"/>
          <w:noProof/>
          <w:lang w:val="en-GB"/>
        </w:rPr>
        <w:t>2019</w:t>
      </w:r>
      <w:r w:rsidR="00A83A80" w:rsidRPr="00A34CD9">
        <w:rPr>
          <w:rFonts w:cstheme="minorHAnsi"/>
          <w:noProof/>
          <w:lang w:val="en-GB"/>
        </w:rPr>
        <w:t>)</w:t>
      </w:r>
      <w:r w:rsidR="00510DF1" w:rsidRPr="00A34CD9">
        <w:rPr>
          <w:rFonts w:cstheme="minorHAnsi"/>
          <w:lang w:val="en-GB"/>
        </w:rPr>
        <w:t>.</w:t>
      </w:r>
    </w:p>
    <w:p w14:paraId="57860348" w14:textId="4DCD55DD" w:rsidR="005B3707" w:rsidRPr="00A34CD9" w:rsidRDefault="00CE23D3" w:rsidP="002A528E">
      <w:pPr>
        <w:pStyle w:val="Prrafodelista"/>
        <w:numPr>
          <w:ilvl w:val="2"/>
          <w:numId w:val="3"/>
        </w:numPr>
        <w:suppressLineNumbers/>
        <w:spacing w:line="480" w:lineRule="auto"/>
        <w:ind w:left="993" w:hanging="633"/>
        <w:outlineLvl w:val="2"/>
        <w:rPr>
          <w:rFonts w:cstheme="minorHAnsi"/>
          <w:b/>
          <w:bCs/>
          <w:lang w:val="en-GB"/>
        </w:rPr>
      </w:pPr>
      <w:r w:rsidRPr="00A34CD9">
        <w:rPr>
          <w:rFonts w:cstheme="minorHAnsi"/>
          <w:b/>
          <w:bCs/>
          <w:lang w:val="en-GB"/>
        </w:rPr>
        <w:t>Environmental</w:t>
      </w:r>
      <w:r w:rsidR="00FA4FEA" w:rsidRPr="00A34CD9">
        <w:rPr>
          <w:rFonts w:cstheme="minorHAnsi"/>
          <w:b/>
          <w:bCs/>
          <w:lang w:val="en-GB"/>
        </w:rPr>
        <w:t xml:space="preserve"> and </w:t>
      </w:r>
      <w:r w:rsidR="00C95073" w:rsidRPr="00A34CD9">
        <w:rPr>
          <w:rFonts w:cstheme="minorHAnsi"/>
          <w:b/>
          <w:bCs/>
          <w:lang w:val="en-GB"/>
        </w:rPr>
        <w:t>prey</w:t>
      </w:r>
      <w:r w:rsidR="00FA4FEA" w:rsidRPr="00A34CD9">
        <w:rPr>
          <w:rFonts w:cstheme="minorHAnsi"/>
          <w:b/>
          <w:bCs/>
          <w:lang w:val="en-GB"/>
        </w:rPr>
        <w:t xml:space="preserve"> </w:t>
      </w:r>
      <w:r w:rsidR="00BB7D1B" w:rsidRPr="00A34CD9">
        <w:rPr>
          <w:rFonts w:cstheme="minorHAnsi"/>
          <w:b/>
          <w:bCs/>
          <w:lang w:val="en-GB"/>
        </w:rPr>
        <w:t>data</w:t>
      </w:r>
    </w:p>
    <w:p w14:paraId="738CBF06" w14:textId="75BF2F6E" w:rsidR="00287670" w:rsidRPr="00A34CD9" w:rsidRDefault="00940EB9" w:rsidP="002A528E">
      <w:pPr>
        <w:suppressLineNumbers/>
        <w:spacing w:line="480" w:lineRule="auto"/>
        <w:jc w:val="both"/>
        <w:rPr>
          <w:rFonts w:cstheme="minorHAnsi"/>
          <w:lang w:val="en-GB"/>
        </w:rPr>
      </w:pPr>
      <w:bookmarkStart w:id="19" w:name="_Hlk98856529"/>
      <w:r w:rsidRPr="00A34CD9">
        <w:rPr>
          <w:rFonts w:cstheme="minorHAnsi"/>
          <w:lang w:val="en-GB"/>
        </w:rPr>
        <w:t>T</w:t>
      </w:r>
      <w:r w:rsidR="00D95A07" w:rsidRPr="00A34CD9">
        <w:rPr>
          <w:rFonts w:cstheme="minorHAnsi"/>
          <w:lang w:val="en-GB"/>
        </w:rPr>
        <w:t xml:space="preserve">hree </w:t>
      </w:r>
      <w:r w:rsidR="009E534F" w:rsidRPr="00A34CD9">
        <w:rPr>
          <w:rFonts w:cstheme="minorHAnsi"/>
          <w:lang w:val="en-GB"/>
        </w:rPr>
        <w:t xml:space="preserve">different types of </w:t>
      </w:r>
      <w:r w:rsidR="00C95073" w:rsidRPr="00A34CD9">
        <w:rPr>
          <w:rFonts w:cstheme="minorHAnsi"/>
          <w:lang w:val="en-GB"/>
        </w:rPr>
        <w:t>variables</w:t>
      </w:r>
      <w:r w:rsidR="00CE2AD8" w:rsidRPr="00A34CD9">
        <w:rPr>
          <w:rFonts w:cstheme="minorHAnsi"/>
          <w:lang w:val="en-GB"/>
        </w:rPr>
        <w:t xml:space="preserve"> were considered</w:t>
      </w:r>
      <w:r w:rsidR="009E534F" w:rsidRPr="00A34CD9">
        <w:rPr>
          <w:rFonts w:cstheme="minorHAnsi"/>
          <w:lang w:val="en-GB"/>
        </w:rPr>
        <w:t xml:space="preserve">: </w:t>
      </w:r>
      <w:r w:rsidR="00D467AC" w:rsidRPr="00A34CD9">
        <w:rPr>
          <w:rFonts w:cstheme="minorHAnsi"/>
          <w:lang w:val="en-GB"/>
        </w:rPr>
        <w:t xml:space="preserve">prey, </w:t>
      </w:r>
      <w:r w:rsidR="003A2C59" w:rsidRPr="00A34CD9">
        <w:rPr>
          <w:rFonts w:cstheme="minorHAnsi"/>
          <w:lang w:val="en-GB"/>
        </w:rPr>
        <w:t>physical</w:t>
      </w:r>
      <w:r w:rsidR="00D467AC" w:rsidRPr="00A34CD9">
        <w:rPr>
          <w:rFonts w:cstheme="minorHAnsi"/>
          <w:lang w:val="en-GB"/>
        </w:rPr>
        <w:t xml:space="preserve"> a</w:t>
      </w:r>
      <w:r w:rsidR="00082C5A" w:rsidRPr="00A34CD9">
        <w:rPr>
          <w:rFonts w:cstheme="minorHAnsi"/>
          <w:lang w:val="en-GB"/>
        </w:rPr>
        <w:t xml:space="preserve">nd physiographic </w:t>
      </w:r>
      <w:r w:rsidR="009E534F" w:rsidRPr="00A34CD9">
        <w:rPr>
          <w:rFonts w:cstheme="minorHAnsi"/>
          <w:lang w:val="en-GB"/>
        </w:rPr>
        <w:t xml:space="preserve">variables. </w:t>
      </w:r>
      <w:bookmarkEnd w:id="19"/>
      <w:r w:rsidR="00A14948" w:rsidRPr="00A34CD9">
        <w:rPr>
          <w:rFonts w:cstheme="minorHAnsi"/>
          <w:lang w:val="en-GB"/>
        </w:rPr>
        <w:t>B</w:t>
      </w:r>
      <w:bookmarkStart w:id="20" w:name="_Hlk98929431"/>
      <w:r w:rsidR="00CA7963" w:rsidRPr="00A34CD9">
        <w:rPr>
          <w:rFonts w:cstheme="minorHAnsi"/>
          <w:lang w:val="en-GB"/>
        </w:rPr>
        <w:t xml:space="preserve">iomass </w:t>
      </w:r>
      <w:r w:rsidR="00F57307" w:rsidRPr="00A34CD9">
        <w:rPr>
          <w:rFonts w:cstheme="minorHAnsi"/>
          <w:lang w:val="en-GB"/>
        </w:rPr>
        <w:t>of juvenile and adult European anchovy (hereafter</w:t>
      </w:r>
      <w:r w:rsidR="00111A00" w:rsidRPr="00A34CD9">
        <w:rPr>
          <w:rFonts w:cstheme="minorHAnsi"/>
          <w:lang w:val="en-GB"/>
        </w:rPr>
        <w:t xml:space="preserve">, </w:t>
      </w:r>
      <w:r w:rsidR="00F57307" w:rsidRPr="00A34CD9">
        <w:rPr>
          <w:rFonts w:cstheme="minorHAnsi"/>
          <w:lang w:val="en-GB"/>
        </w:rPr>
        <w:t>ANEJ and ANEA, respectively) and European pilchardus (</w:t>
      </w:r>
      <w:proofErr w:type="spellStart"/>
      <w:r w:rsidR="00F57307" w:rsidRPr="00A34CD9">
        <w:rPr>
          <w:rFonts w:cstheme="minorHAnsi"/>
          <w:i/>
          <w:iCs/>
          <w:lang w:val="en-GB"/>
        </w:rPr>
        <w:t>Sardina</w:t>
      </w:r>
      <w:proofErr w:type="spellEnd"/>
      <w:r w:rsidR="00F57307" w:rsidRPr="00A34CD9">
        <w:rPr>
          <w:rFonts w:cstheme="minorHAnsi"/>
          <w:i/>
          <w:iCs/>
          <w:lang w:val="en-GB"/>
        </w:rPr>
        <w:t xml:space="preserve"> pilchardus</w:t>
      </w:r>
      <w:r w:rsidR="00F57307" w:rsidRPr="00A34CD9">
        <w:rPr>
          <w:rFonts w:cstheme="minorHAnsi"/>
          <w:lang w:val="en-GB"/>
        </w:rPr>
        <w:t>; hereafter</w:t>
      </w:r>
      <w:r w:rsidR="00111A00" w:rsidRPr="00A34CD9">
        <w:rPr>
          <w:rFonts w:cstheme="minorHAnsi"/>
          <w:lang w:val="en-GB"/>
        </w:rPr>
        <w:t>, P</w:t>
      </w:r>
      <w:r w:rsidR="00F57307" w:rsidRPr="00A34CD9">
        <w:rPr>
          <w:rFonts w:cstheme="minorHAnsi"/>
          <w:lang w:val="en-GB"/>
        </w:rPr>
        <w:t>IL)</w:t>
      </w:r>
      <w:r w:rsidR="00A14948" w:rsidRPr="00A34CD9">
        <w:rPr>
          <w:rFonts w:cstheme="minorHAnsi"/>
          <w:lang w:val="en-GB"/>
        </w:rPr>
        <w:t xml:space="preserve"> were selected as prey variables</w:t>
      </w:r>
      <w:r w:rsidR="009872BD" w:rsidRPr="00A34CD9">
        <w:rPr>
          <w:rFonts w:cstheme="minorHAnsi"/>
          <w:lang w:val="en-GB"/>
        </w:rPr>
        <w:t xml:space="preserve"> in accordance with previous spatial abundance studies of great shearwater performed in the area </w:t>
      </w:r>
      <w:r w:rsidR="009872BD" w:rsidRPr="00A34CD9">
        <w:rPr>
          <w:rFonts w:cstheme="minorHAnsi"/>
          <w:lang w:val="en-GB"/>
        </w:rPr>
        <w:fldChar w:fldCharType="begin" w:fldLock="1"/>
      </w:r>
      <w:r w:rsidR="00856D1F" w:rsidRPr="00A34CD9">
        <w:rPr>
          <w:rFonts w:cstheme="minorHAnsi"/>
          <w:lang w:val="en-GB"/>
        </w:rPr>
        <w:instrText>ADDIN CSL_CITATION {"citationItems":[{"id":"ITEM-1","itemData":{"DOI":"10.3354/meps12838","ISSN":"01718630","abstract":"Marine predators move through the seascape searching for foraging resources. Prey configuration and oceanographic processes could therefore shape their 3-dimensional (3D) oceanographic habitats. Taking advantage of multidisciplinary oceanographic JUVENA surveys targeting biomass estimation of pelagic fishes, observations of 2 highly migratory pelagic seabirds were collected during line-transects: sooty shearwaters (SOSHs) Ardenna grisea and great shearwater (GRSHs) A. gravis. Every autumn these species visit the pelagic ecosystem of the Bay of Biscay (BoB). We developed generalised additive models to disentangle the effects of the 3D ocean environment and preyscapes at different depth ranges, in addition to static variables, on driving the spatial abundance of these predators. The species differed in their vertical habitat use, with SOSHs and GRSHs influenced by habitat conditions above the depth of the maximum temperature gradient and at the surface, respectively. SOSHs were more abundant in deeper shelf areas with localised hotspots associated with upwelling and river discharges. In contrast, GRSHs were more abundant in shallow slope areas in the outer BoB sectors, followed by less dense areas with intermediate levels of juvenile anchovy biomass. Therefore, both species integrate marine resources at different vertical and spatial dimensions, influenced by topographic features, oceanographic conditions and preyscapes. Relative abundance estimations provided mean values of 3203 SOSHs (95% CI: 1753−5748) and 12 380 GRSHs (95% CI: 5797−28152) in the BoB during their annual migration; these numbers varied slightly inter-annually. This study provides an example of the combination of multiple pelagic components as a means to provide an integral assessment to advance ecosystem-based monitoring.","author":[{"dropping-particle":"","family":"Louzao","given":"Maite","non-dropping-particle":"","parse-names":false,"suffix":""},{"dropping-particle":"","family":"García-Barón","given":"Isabel","non-dropping-particle":"","parse-names":false,"suffix":""},{"dropping-particle":"","family":"Rubio","given":"Anna","non-dropping-particle":"","parse-names":false,"suffix":""},{"dropping-particle":"","family":"Martínez","given":"Udane","non-dropping-particle":"","parse-names":false,"suffix":""},{"dropping-particle":"","family":"Vázquez","given":"José Antonio","non-dropping-particle":"","parse-names":false,"suffix":""},{"dropping-particle":"","family":"Murcia","given":"José Luis","non-dropping-particle":"","parse-names":false,"suffix":""},{"dropping-particle":"","family":"Nogueira","given":"Enrique","non-dropping-particle":"","parse-names":false,"suffix":""},{"dropping-particle":"","family":"Boyra","given":"Guillermo","non-dropping-particle":"","parse-names":false,"suffix":""}],"container-title":"Marine Ecology Progress Series","id":"ITEM-1","issued":{"date-parts":[["2019"]]},"page":"199-219","publisher":"Inter-Research","title":"Understanding the 3D environment of pelagic predators from multidisciplinary oceanographic surveys to advance ecosystem-based monitoring","type":"article-journal","volume":"617-618"},"uris":["http://www.mendeley.com/documents/?uuid=905cd3b9-9dbf-398d-8240-0e588445784b"]}],"mendeley":{"formattedCitation":"(Louzao &lt;i&gt;et al.&lt;/i&gt;, 2019)","plainTextFormattedCitation":"(Louzao et al., 2019)","previouslyFormattedCitation":"(Louzao &lt;i&gt;et al.&lt;/i&gt;, 2019)"},"properties":{"noteIndex":0},"schema":"https://github.com/citation-style-language/schema/raw/master/csl-citation.json"}</w:instrText>
      </w:r>
      <w:r w:rsidR="009872BD" w:rsidRPr="00A34CD9">
        <w:rPr>
          <w:rFonts w:cstheme="minorHAnsi"/>
          <w:lang w:val="en-GB"/>
        </w:rPr>
        <w:fldChar w:fldCharType="separate"/>
      </w:r>
      <w:r w:rsidR="009872BD" w:rsidRPr="00A34CD9">
        <w:rPr>
          <w:rFonts w:cstheme="minorHAnsi"/>
          <w:noProof/>
          <w:lang w:val="en-GB"/>
        </w:rPr>
        <w:t xml:space="preserve">(Louzao </w:t>
      </w:r>
      <w:r w:rsidR="009872BD" w:rsidRPr="00A34CD9">
        <w:rPr>
          <w:rFonts w:cstheme="minorHAnsi"/>
          <w:i/>
          <w:noProof/>
          <w:lang w:val="en-GB"/>
        </w:rPr>
        <w:t>et al.</w:t>
      </w:r>
      <w:r w:rsidR="009872BD" w:rsidRPr="00A34CD9">
        <w:rPr>
          <w:rFonts w:cstheme="minorHAnsi"/>
          <w:noProof/>
          <w:lang w:val="en-GB"/>
        </w:rPr>
        <w:t>, 2019)</w:t>
      </w:r>
      <w:r w:rsidR="009872BD" w:rsidRPr="00A34CD9">
        <w:rPr>
          <w:rFonts w:cstheme="minorHAnsi"/>
          <w:lang w:val="en-GB"/>
        </w:rPr>
        <w:fldChar w:fldCharType="end"/>
      </w:r>
      <w:r w:rsidR="006C2A0C" w:rsidRPr="00A34CD9">
        <w:rPr>
          <w:rFonts w:cstheme="minorHAnsi"/>
          <w:lang w:val="en-GB"/>
        </w:rPr>
        <w:t xml:space="preserve">. </w:t>
      </w:r>
      <w:bookmarkEnd w:id="20"/>
      <w:r w:rsidR="00094D3B" w:rsidRPr="00A34CD9">
        <w:rPr>
          <w:rFonts w:cstheme="minorHAnsi"/>
          <w:lang w:val="en-GB"/>
        </w:rPr>
        <w:t>S</w:t>
      </w:r>
      <w:r w:rsidR="006C2A0C" w:rsidRPr="00A34CD9">
        <w:rPr>
          <w:rFonts w:cstheme="minorHAnsi"/>
          <w:lang w:val="en-GB"/>
        </w:rPr>
        <w:t>patial biomass patterns of ANEJ, ANEA and PIL</w:t>
      </w:r>
      <w:r w:rsidR="00F57307" w:rsidRPr="00A34CD9">
        <w:rPr>
          <w:rFonts w:cstheme="minorHAnsi"/>
          <w:lang w:val="en-GB"/>
        </w:rPr>
        <w:t xml:space="preserve"> </w:t>
      </w:r>
      <w:r w:rsidR="0062493A" w:rsidRPr="00A34CD9">
        <w:rPr>
          <w:rFonts w:cstheme="minorHAnsi"/>
          <w:lang w:val="en-GB"/>
        </w:rPr>
        <w:t xml:space="preserve">at different depths </w:t>
      </w:r>
      <w:r w:rsidR="00B45A9B" w:rsidRPr="00A34CD9">
        <w:rPr>
          <w:rFonts w:cstheme="minorHAnsi"/>
          <w:lang w:val="en-GB"/>
        </w:rPr>
        <w:t>were obtained</w:t>
      </w:r>
      <w:r w:rsidR="0062493A" w:rsidRPr="00A34CD9">
        <w:rPr>
          <w:rFonts w:cstheme="minorHAnsi"/>
          <w:lang w:val="en-GB"/>
        </w:rPr>
        <w:t xml:space="preserve"> </w:t>
      </w:r>
      <w:r w:rsidR="00F57307" w:rsidRPr="00A34CD9">
        <w:rPr>
          <w:rFonts w:cstheme="minorHAnsi"/>
          <w:lang w:val="en-GB"/>
        </w:rPr>
        <w:t>based on trawl-acoustic methodolog</w:t>
      </w:r>
      <w:r w:rsidR="003864F3" w:rsidRPr="00A34CD9">
        <w:rPr>
          <w:rFonts w:cstheme="minorHAnsi"/>
          <w:lang w:val="en-GB"/>
        </w:rPr>
        <w:t>ies</w:t>
      </w:r>
      <w:r w:rsidR="00F57307" w:rsidRPr="00A34CD9">
        <w:rPr>
          <w:rFonts w:cstheme="minorHAnsi"/>
          <w:lang w:val="en-GB"/>
        </w:rPr>
        <w:t xml:space="preserve"> </w:t>
      </w:r>
      <w:r w:rsidR="00AD543C" w:rsidRPr="00A34CD9">
        <w:rPr>
          <w:rFonts w:cstheme="minorHAnsi"/>
          <w:lang w:val="en-GB"/>
        </w:rPr>
        <w:fldChar w:fldCharType="begin" w:fldLock="1"/>
      </w:r>
      <w:r w:rsidR="005E336E" w:rsidRPr="00A34CD9">
        <w:rPr>
          <w:rFonts w:cstheme="minorHAnsi"/>
          <w:lang w:val="en-GB"/>
        </w:rPr>
        <w:instrText>ADDIN CSL_CITATION {"citationItems":[{"id":"ITEM-1","itemData":{"author":[{"dropping-particle":"","family":"Simmonds","given":"J.","non-dropping-particle":"","parse-names":false,"suffix":""},{"dropping-particle":"","family":"MacLennan","given":"D.","non-dropping-particle":"","parse-names":false,"suffix":""}],"id":"ITEM-1","issued":{"date-parts":[["2005"]]},"publisher":"Blackwell Scientific Publications","publisher-place":"Oxford (UK)","title":"Fishery acoustic theory and practice","type":"book"},"uris":["http://www.mendeley.com/documents/?uuid=8b06f1cd-4d11-4a91-8834-b8d50e9fc9b2"]}],"mendeley":{"formattedCitation":"(Simmonds and MacLennan, 2005)","plainTextFormattedCitation":"(Simmonds and MacLennan, 2005)","previouslyFormattedCitation":"(Simmonds and MacLennan, 2005)"},"properties":{"noteIndex":0},"schema":"https://github.com/citation-style-language/schema/raw/master/csl-citation.json"}</w:instrText>
      </w:r>
      <w:r w:rsidR="00AD543C" w:rsidRPr="00A34CD9">
        <w:rPr>
          <w:rFonts w:cstheme="minorHAnsi"/>
          <w:lang w:val="en-GB"/>
        </w:rPr>
        <w:fldChar w:fldCharType="separate"/>
      </w:r>
      <w:r w:rsidR="003600F9" w:rsidRPr="00A34CD9">
        <w:rPr>
          <w:rFonts w:cstheme="minorHAnsi"/>
          <w:noProof/>
          <w:lang w:val="en-GB"/>
        </w:rPr>
        <w:t>(Simmonds and MacLennan, 2005)</w:t>
      </w:r>
      <w:r w:rsidR="00AD543C" w:rsidRPr="00A34CD9">
        <w:rPr>
          <w:rFonts w:cstheme="minorHAnsi"/>
          <w:lang w:val="en-GB"/>
        </w:rPr>
        <w:fldChar w:fldCharType="end"/>
      </w:r>
      <w:r w:rsidR="002C313D" w:rsidRPr="00A34CD9">
        <w:rPr>
          <w:rFonts w:cstheme="minorHAnsi"/>
          <w:lang w:val="en-GB"/>
        </w:rPr>
        <w:t xml:space="preserve">. </w:t>
      </w:r>
      <w:r w:rsidR="00070F1A" w:rsidRPr="00A34CD9">
        <w:rPr>
          <w:rFonts w:cstheme="minorHAnsi"/>
          <w:lang w:val="en-GB"/>
        </w:rPr>
        <w:t>O</w:t>
      </w:r>
      <w:r w:rsidR="00CC44F6" w:rsidRPr="00A34CD9">
        <w:rPr>
          <w:rFonts w:cstheme="minorHAnsi"/>
          <w:lang w:val="en-GB"/>
        </w:rPr>
        <w:t xml:space="preserve">riginal </w:t>
      </w:r>
      <w:r w:rsidR="00814A90" w:rsidRPr="00A34CD9">
        <w:rPr>
          <w:rFonts w:cstheme="minorHAnsi"/>
          <w:lang w:val="en-GB"/>
        </w:rPr>
        <w:t xml:space="preserve">biomass values of </w:t>
      </w:r>
      <w:r w:rsidR="006C2A0C" w:rsidRPr="00A34CD9">
        <w:rPr>
          <w:rFonts w:cstheme="minorHAnsi"/>
          <w:lang w:val="en-GB"/>
        </w:rPr>
        <w:t>ANEJ, ANEA and PIL</w:t>
      </w:r>
      <w:r w:rsidR="00814A90" w:rsidRPr="00A34CD9">
        <w:rPr>
          <w:rFonts w:cstheme="minorHAnsi"/>
          <w:lang w:val="en-GB"/>
        </w:rPr>
        <w:t xml:space="preserve"> were </w:t>
      </w:r>
      <w:r w:rsidR="00B45A9B" w:rsidRPr="00A34CD9">
        <w:rPr>
          <w:rFonts w:cstheme="minorHAnsi"/>
          <w:lang w:val="en-GB"/>
        </w:rPr>
        <w:t xml:space="preserve">laid over a grid </w:t>
      </w:r>
      <w:r w:rsidR="00DB736C" w:rsidRPr="00A34CD9">
        <w:rPr>
          <w:rFonts w:cstheme="minorHAnsi"/>
          <w:lang w:val="en-GB"/>
        </w:rPr>
        <w:t xml:space="preserve">of </w:t>
      </w:r>
      <w:r w:rsidR="004675C2" w:rsidRPr="00A34CD9">
        <w:rPr>
          <w:rFonts w:cstheme="minorHAnsi"/>
          <w:lang w:val="en-GB"/>
        </w:rPr>
        <w:t>0.1</w:t>
      </w:r>
      <w:r w:rsidR="001F27FA" w:rsidRPr="00A34CD9">
        <w:rPr>
          <w:rFonts w:cstheme="minorHAnsi"/>
          <w:lang w:val="en-GB"/>
        </w:rPr>
        <w:t xml:space="preserve">˚ </w:t>
      </w:r>
      <w:r w:rsidR="00DB736C" w:rsidRPr="00A34CD9">
        <w:rPr>
          <w:rFonts w:cstheme="minorHAnsi"/>
          <w:lang w:val="en-GB"/>
        </w:rPr>
        <w:t xml:space="preserve">spatial resolution </w:t>
      </w:r>
      <w:r w:rsidR="00CC44F6" w:rsidRPr="00A34CD9">
        <w:rPr>
          <w:rFonts w:cstheme="minorHAnsi"/>
          <w:lang w:val="en-GB"/>
        </w:rPr>
        <w:t xml:space="preserve">and </w:t>
      </w:r>
      <w:r w:rsidR="00C43B49" w:rsidRPr="00A34CD9">
        <w:rPr>
          <w:rFonts w:cstheme="minorHAnsi"/>
          <w:lang w:val="en-GB"/>
        </w:rPr>
        <w:t>tota</w:t>
      </w:r>
      <w:r w:rsidR="007A3D77" w:rsidRPr="00A34CD9">
        <w:rPr>
          <w:rFonts w:cstheme="minorHAnsi"/>
          <w:lang w:val="en-GB"/>
        </w:rPr>
        <w:t>l</w:t>
      </w:r>
      <w:r w:rsidR="00C43B49" w:rsidRPr="00A34CD9">
        <w:rPr>
          <w:rFonts w:cstheme="minorHAnsi"/>
          <w:lang w:val="en-GB"/>
        </w:rPr>
        <w:t>led</w:t>
      </w:r>
      <w:r w:rsidR="00CC44F6" w:rsidRPr="00A34CD9">
        <w:rPr>
          <w:rFonts w:cstheme="minorHAnsi"/>
          <w:lang w:val="en-GB"/>
        </w:rPr>
        <w:t xml:space="preserve"> for each </w:t>
      </w:r>
      <w:r w:rsidR="00070F1A" w:rsidRPr="00A34CD9">
        <w:rPr>
          <w:rFonts w:cstheme="minorHAnsi"/>
          <w:lang w:val="en-GB"/>
        </w:rPr>
        <w:t xml:space="preserve">cell. </w:t>
      </w:r>
      <w:bookmarkStart w:id="21" w:name="_Hlk98934020"/>
      <w:r w:rsidR="00CF01DA" w:rsidRPr="00A34CD9">
        <w:rPr>
          <w:rFonts w:cstheme="minorHAnsi"/>
          <w:lang w:val="en-GB"/>
        </w:rPr>
        <w:t>Finally</w:t>
      </w:r>
      <w:r w:rsidR="00070F1A" w:rsidRPr="00A34CD9">
        <w:rPr>
          <w:rFonts w:cstheme="minorHAnsi"/>
          <w:lang w:val="en-GB"/>
        </w:rPr>
        <w:t xml:space="preserve">, small pelagic fish biomass estimations were obtained </w:t>
      </w:r>
      <w:r w:rsidR="00E90E96" w:rsidRPr="00A34CD9">
        <w:rPr>
          <w:rFonts w:cstheme="minorHAnsi"/>
          <w:lang w:val="en-GB"/>
        </w:rPr>
        <w:t xml:space="preserve">using a combination of </w:t>
      </w:r>
      <w:r w:rsidR="00B45A9B" w:rsidRPr="00A34CD9">
        <w:rPr>
          <w:rFonts w:cstheme="minorHAnsi"/>
          <w:lang w:val="en-GB"/>
        </w:rPr>
        <w:t xml:space="preserve">universal kriging and an automatic variogram fitting procedure </w:t>
      </w:r>
      <w:r w:rsidR="00CF01DA" w:rsidRPr="00A34CD9">
        <w:rPr>
          <w:rFonts w:cstheme="minorHAnsi"/>
          <w:lang w:val="en-GB"/>
        </w:rPr>
        <w:t>using</w:t>
      </w:r>
      <w:r w:rsidR="00B45A9B" w:rsidRPr="00A34CD9">
        <w:rPr>
          <w:rFonts w:cstheme="minorHAnsi"/>
          <w:lang w:val="en-GB"/>
        </w:rPr>
        <w:t xml:space="preserve"> the</w:t>
      </w:r>
      <w:r w:rsidR="00CF01DA" w:rsidRPr="00A34CD9">
        <w:rPr>
          <w:rFonts w:cstheme="minorHAnsi"/>
          <w:lang w:val="en-GB"/>
        </w:rPr>
        <w:t xml:space="preserve"> R‐package</w:t>
      </w:r>
      <w:r w:rsidR="00B45A9B" w:rsidRPr="00A34CD9">
        <w:rPr>
          <w:rFonts w:cstheme="minorHAnsi"/>
          <w:lang w:val="en-GB"/>
        </w:rPr>
        <w:t xml:space="preserve"> </w:t>
      </w:r>
      <w:proofErr w:type="spellStart"/>
      <w:r w:rsidR="00B45A9B" w:rsidRPr="00A34CD9">
        <w:rPr>
          <w:rFonts w:cstheme="minorHAnsi"/>
          <w:i/>
          <w:iCs/>
          <w:lang w:val="en-GB"/>
        </w:rPr>
        <w:t>automap</w:t>
      </w:r>
      <w:proofErr w:type="spellEnd"/>
      <w:r w:rsidR="00856D1F" w:rsidRPr="00A34CD9">
        <w:rPr>
          <w:rFonts w:cstheme="minorHAnsi"/>
          <w:i/>
          <w:iCs/>
          <w:lang w:val="en-GB"/>
        </w:rPr>
        <w:t xml:space="preserve"> </w:t>
      </w:r>
      <w:r w:rsidR="00856D1F" w:rsidRPr="00A34CD9">
        <w:rPr>
          <w:rFonts w:cstheme="minorHAnsi"/>
          <w:iCs/>
          <w:color w:val="000000" w:themeColor="text1"/>
          <w:u w:color="1F497D"/>
          <w:lang w:val="en-GB"/>
        </w:rPr>
        <w:fldChar w:fldCharType="begin" w:fldLock="1"/>
      </w:r>
      <w:r w:rsidR="008E269F" w:rsidRPr="00A34CD9">
        <w:rPr>
          <w:rFonts w:cstheme="minorHAnsi"/>
          <w:iCs/>
          <w:color w:val="000000" w:themeColor="text1"/>
          <w:u w:color="1F497D"/>
          <w:lang w:val="en-GB"/>
        </w:rPr>
        <w:instrText>ADDIN CSL_CITATION {"citationItems":[{"id":"ITEM-1","itemData":{"DOI":"10.1002/aqc.1003","ISSN":"10527613","abstract":"1. Marine protected areas (MPAs) are expected to function simultaneously as biological conservation and fisheries management tools, but empirical evidence linking biodiversity conservation with fisheries benefits is scarce. Around the Medes Islands marine reserve (Spain, NW Mediterranean) patterns of fish catch diversity, catch (CPUE) and income (IPUE) were assessed and the economic value of diversity for local fisheries was explored by combining a Geographic Information System (GIS) analysis with geostatistics. 2. Catch data were derived from the trammel net fleet operating around the MPA to gain information on species diversity, functional diversity, functional redundancy, CPUE and IPUE. 3. Results revealed significant impact of both the fishing prohibition in the MPA and the presence of seagrass beds on diversity metrics, catch and income. Clear differences in functional redundancy in fish assemblages were found within the study area, indicating greater resilience of the fish assemblage against fishing pressure or human impact close to the MPA (≤2 km). In contrast, fish assemblages beyond 2 km of the MPA border are more vulnerable to disturbance. High values of diversity, CPUE and IPUE overlapped close to the MPA border and close to seagrass beds. 4. The spatial approach developed suggests that, in addition to the more commonly studied effect of densitydependent spillover of adult fish, increased levels of ecological diversity and economic diversity can also result infisheries benefits of an MPA. Hence, the fishing regulations in and around the Medes Islands marine reserve have shown that biological conservation and fisheries benefits can be complementary in the long-term, which should be considered in future policies for MPAs or MPA networks. © 2008 John Wiley &amp; Sons, Ltd.","author":[{"dropping-particle":"","family":"Stelzenmüller","given":"Vanessa","non-dropping-particle":"","parse-names":false,"suffix":""},{"dropping-particle":"","family":"Maynou","given":"Francesc","non-dropping-particle":"","parse-names":false,"suffix":""},{"dropping-particle":"","family":"Martín","given":"Paloma","non-dropping-particle":"","parse-names":false,"suffix":""}],"container-title":"Aquatic Conservation: Marine and Freshwater Ecosystems","id":"ITEM-1","issue":"5","issued":{"date-parts":[["2009","7","1"]]},"page":"554-565","publisher":"John Wiley &amp; Sons, Ltd","title":"Patterns of species and functional diversity around a coastal marine reserve: A fisheries perspective","type":"article-journal","volume":"19"},"uris":["http://www.mendeley.com/documents/?uuid=5bd68c91-3128-33f5-a66b-8ddbbf925ec5"]},{"id":"ITEM-2","itemData":{"DOI":"10.1080/17451000500361009","ISSN":"17451000","abstract":"Geostatistics was employed to investigate spatial structuring of herring, cod, dab, haddock and whiting at different spatial scales in the northern North Sea. Additionally, a structural analysis of the maximum water depth was carried out to assess habitat associations of fish. Linear, spherical, exponential and Gaussian models were fitted to the semivariograms, showing clear spatial autocorrelations. At the smaller scale, spatial structuring was weak for haddock, herring and dab, increasing at the greater spatial scale, with the exception of whiting. Mean catch rates, estimated classically and geostatistically, were in good agreement. Corresponding variances were clearly reduced at both spatial scales, when accounting for spatial distribution of the fish. At the greater survey scale a high level of habitat association was detected for haddock and whiting, while a poor habitat association was found for cod, dab and herring. The smaller scale seems to be the threshold at which spatial structuring of \"cpue\" could have marked influence on estimation error. Thus, survey scale is important when analysing spatial patterns and estimating mean biomass indices, and a sound analysis of relations in spatial structuring of fish and habitat conditions is essential to derive more precise estimates. © 2005 Taylor &amp; Francis.","author":[{"dropping-particle":"","family":"Stelzenmüller","given":"Vanessa","non-dropping-particle":"","parse-names":false,"suffix":""},{"dropping-particle":"","family":"Ehrich","given":"Siegfried","non-dropping-particle":"","parse-names":false,"suffix":""},{"dropping-particle":"","family":"Zauke","given":"Gerd Peter","non-dropping-particle":"","parse-names":false,"suffix":""}],"container-title":"Marine Biology Research","id":"ITEM-2","issue":"6","issued":{"date-parts":[["2005"]]},"page":"375-387","title":"Effects of survey scale and water depth on the assessment of spatial distribution patterns of selected fish in the northern North Sea showing different levels of aggregation","type":"article-journal","volume":"1"},"uris":["http://www.mendeley.com/documents/?uuid=7a5f8979-5768-4e14-9fb9-4a5a60cbec76"]},{"id":"ITEM-3","itemData":{"DOI":"10.3354/meps12838","ISSN":"01718630","abstract":"Marine predators move through the seascape searching for foraging resources. Prey configuration and oceanographic processes could therefore shape their 3-dimensional (3D) oceanographic habitats. Taking advantage of multidisciplinary oceanographic JUVENA surveys targeting biomass estimation of pelagic fishes, observations of 2 highly migratory pelagic seabirds were collected during line-transects: sooty shearwaters (SOSHs) Ardenna grisea and great shearwater (GRSHs) A. gravis. Every autumn these species visit the pelagic ecosystem of the Bay of Biscay (BoB). We developed generalised additive models to disentangle the effects of the 3D ocean environment and preyscapes at different depth ranges, in addition to static variables, on driving the spatial abundance of these predators. The species differed in their vertical habitat use, with SOSHs and GRSHs influenced by habitat conditions above the depth of the maximum temperature gradient and at the surface, respectively. SOSHs were more abundant in deeper shelf areas with localised hotspots associated with upwelling and river discharges. In contrast, GRSHs were more abundant in shallow slope areas in the outer BoB sectors, followed by less dense areas with intermediate levels of juvenile anchovy biomass. Therefore, both species integrate marine resources at different vertical and spatial dimensions, influenced by topographic features, oceanographic conditions and preyscapes. Relative abundance estimations provided mean values of 3203 SOSHs (95% CI: 1753−5748) and 12 380 GRSHs (95% CI: 5797−28152) in the BoB during their annual migration; these numbers varied slightly inter-annually. This study provides an example of the combination of multiple pelagic components as a means to provide an integral assessment to advance ecosystem-based monitoring.","author":[{"dropping-particle":"","family":"Louzao","given":"Maite","non-dropping-particle":"","parse-names":false,"suffix":""},{"dropping-particle":"","family":"García-Barón","given":"Isabel","non-dropping-particle":"","parse-names":false,"suffix":""},{"dropping-particle":"","family":"Rubio","given":"Anna","non-dropping-particle":"","parse-names":false,"suffix":""},{"dropping-particle":"","family":"Martínez","given":"Udane","non-dropping-particle":"","parse-names":false,"suffix":""},{"dropping-particle":"","family":"Vázquez","given":"José Antonio","non-dropping-particle":"","parse-names":false,"suffix":""},{"dropping-particle":"","family":"Murcia","given":"José Luis","non-dropping-particle":"","parse-names":false,"suffix":""},{"dropping-particle":"","family":"Nogueira","given":"Enrique","non-dropping-particle":"","parse-names":false,"suffix":""},{"dropping-particle":"","family":"Boyra","given":"Guillermo","non-dropping-particle":"","parse-names":false,"suffix":""}],"container-title":"Marine Ecology Progress Series","id":"ITEM-3","issued":{"date-parts":[["2019"]]},"page":"199-219","publisher":"Inter-Research","title":"Understanding the 3D environment of pelagic predators from multidisciplinary oceanographic surveys to advance ecosystem-based monitoring","type":"article-journal","volume":"617-618"},"uris":["http://www.mendeley.com/documents/?uuid=905cd3b9-9dbf-398d-8240-0e588445784b"]}],"mendeley":{"formattedCitation":"(Stelzenmüller &lt;i&gt;et al.&lt;/i&gt;, 2005, 2009; Louzao &lt;i&gt;et al.&lt;/i&gt;, 2019)","plainTextFormattedCitation":"(Stelzenmüller et al., 2005, 2009; Louzao et al., 2019)","previouslyFormattedCitation":"(Stelzenmüller &lt;i&gt;et al.&lt;/i&gt;, 2005, 2009; Louzao &lt;i&gt;et al.&lt;/i&gt;, 2019)"},"properties":{"noteIndex":0},"schema":"https://github.com/citation-style-language/schema/raw/master/csl-citation.json"}</w:instrText>
      </w:r>
      <w:r w:rsidR="00856D1F" w:rsidRPr="00A34CD9">
        <w:rPr>
          <w:rFonts w:cstheme="minorHAnsi"/>
          <w:iCs/>
          <w:color w:val="000000" w:themeColor="text1"/>
          <w:u w:color="1F497D"/>
          <w:lang w:val="en-GB"/>
        </w:rPr>
        <w:fldChar w:fldCharType="separate"/>
      </w:r>
      <w:r w:rsidR="00856D1F" w:rsidRPr="00A34CD9">
        <w:rPr>
          <w:rFonts w:cstheme="minorHAnsi"/>
          <w:iCs/>
          <w:noProof/>
          <w:color w:val="000000" w:themeColor="text1"/>
          <w:u w:color="1F497D"/>
          <w:lang w:val="en-GB"/>
        </w:rPr>
        <w:t xml:space="preserve">(Stelzenmüller </w:t>
      </w:r>
      <w:r w:rsidR="00856D1F" w:rsidRPr="00A34CD9">
        <w:rPr>
          <w:rFonts w:cstheme="minorHAnsi"/>
          <w:i/>
          <w:iCs/>
          <w:noProof/>
          <w:color w:val="000000" w:themeColor="text1"/>
          <w:u w:color="1F497D"/>
          <w:lang w:val="en-GB"/>
        </w:rPr>
        <w:t>et al.</w:t>
      </w:r>
      <w:r w:rsidR="00856D1F" w:rsidRPr="00A34CD9">
        <w:rPr>
          <w:rFonts w:cstheme="minorHAnsi"/>
          <w:iCs/>
          <w:noProof/>
          <w:color w:val="000000" w:themeColor="text1"/>
          <w:u w:color="1F497D"/>
          <w:lang w:val="en-GB"/>
        </w:rPr>
        <w:t xml:space="preserve">, 2005, 2009; Louzao </w:t>
      </w:r>
      <w:r w:rsidR="00856D1F" w:rsidRPr="00A34CD9">
        <w:rPr>
          <w:rFonts w:cstheme="minorHAnsi"/>
          <w:i/>
          <w:iCs/>
          <w:noProof/>
          <w:color w:val="000000" w:themeColor="text1"/>
          <w:u w:color="1F497D"/>
          <w:lang w:val="en-GB"/>
        </w:rPr>
        <w:t>et al.</w:t>
      </w:r>
      <w:r w:rsidR="00856D1F" w:rsidRPr="00A34CD9">
        <w:rPr>
          <w:rFonts w:cstheme="minorHAnsi"/>
          <w:iCs/>
          <w:noProof/>
          <w:color w:val="000000" w:themeColor="text1"/>
          <w:u w:color="1F497D"/>
          <w:lang w:val="en-GB"/>
        </w:rPr>
        <w:t>, 2019)</w:t>
      </w:r>
      <w:r w:rsidR="00856D1F" w:rsidRPr="00A34CD9">
        <w:rPr>
          <w:rFonts w:cstheme="minorHAnsi"/>
          <w:iCs/>
          <w:color w:val="000000" w:themeColor="text1"/>
          <w:u w:color="1F497D"/>
          <w:lang w:val="en-GB"/>
        </w:rPr>
        <w:fldChar w:fldCharType="end"/>
      </w:r>
      <w:r w:rsidR="00B45A9B" w:rsidRPr="00A34CD9">
        <w:rPr>
          <w:rFonts w:cstheme="minorHAnsi"/>
          <w:lang w:val="en-GB"/>
        </w:rPr>
        <w:t xml:space="preserve"> </w:t>
      </w:r>
      <w:r w:rsidR="00CF01DA" w:rsidRPr="00A34CD9">
        <w:rPr>
          <w:rFonts w:cstheme="minorHAnsi"/>
          <w:lang w:val="en-GB"/>
        </w:rPr>
        <w:t>.</w:t>
      </w:r>
      <w:r w:rsidR="005C4B93" w:rsidRPr="00A34CD9">
        <w:rPr>
          <w:rFonts w:cstheme="minorHAnsi"/>
          <w:lang w:val="en-GB"/>
        </w:rPr>
        <w:t xml:space="preserve"> </w:t>
      </w:r>
    </w:p>
    <w:p w14:paraId="3FED04CF" w14:textId="1F0A9122" w:rsidR="00287670" w:rsidRPr="00A34CD9" w:rsidRDefault="00287670" w:rsidP="002A528E">
      <w:pPr>
        <w:suppressLineNumbers/>
        <w:spacing w:line="480" w:lineRule="auto"/>
        <w:jc w:val="both"/>
        <w:rPr>
          <w:rFonts w:cstheme="minorHAnsi"/>
          <w:lang w:val="en-GB"/>
        </w:rPr>
      </w:pPr>
      <w:bookmarkStart w:id="22" w:name="_Hlk98856568"/>
      <w:bookmarkEnd w:id="21"/>
      <w:r w:rsidRPr="00A34CD9">
        <w:rPr>
          <w:rFonts w:cstheme="minorHAnsi"/>
          <w:lang w:val="en-GB"/>
        </w:rPr>
        <w:t xml:space="preserve">Six </w:t>
      </w:r>
      <w:r w:rsidR="00DF45F7" w:rsidRPr="00A34CD9">
        <w:rPr>
          <w:rFonts w:cstheme="minorHAnsi"/>
          <w:lang w:val="en-GB"/>
        </w:rPr>
        <w:t xml:space="preserve">physical </w:t>
      </w:r>
      <w:r w:rsidR="002B2EAD" w:rsidRPr="00A34CD9">
        <w:rPr>
          <w:rFonts w:cstheme="minorHAnsi"/>
          <w:lang w:val="en-GB"/>
        </w:rPr>
        <w:t>variables</w:t>
      </w:r>
      <w:r w:rsidRPr="00A34CD9">
        <w:rPr>
          <w:rFonts w:cstheme="minorHAnsi"/>
          <w:lang w:val="en-GB"/>
        </w:rPr>
        <w:t xml:space="preserve"> were used </w:t>
      </w:r>
      <w:bookmarkEnd w:id="22"/>
      <w:r w:rsidRPr="00A34CD9">
        <w:rPr>
          <w:rFonts w:cstheme="minorHAnsi"/>
          <w:lang w:val="en-GB"/>
        </w:rPr>
        <w:t xml:space="preserve">to model seabird’s spatial density, </w:t>
      </w:r>
      <w:bookmarkStart w:id="23" w:name="_Hlk98856207"/>
      <w:r w:rsidR="004049CB" w:rsidRPr="00A34CD9">
        <w:rPr>
          <w:rFonts w:cstheme="minorHAnsi"/>
          <w:lang w:val="en-GB"/>
        </w:rPr>
        <w:t xml:space="preserve">surface </w:t>
      </w:r>
      <w:r w:rsidR="00D00009" w:rsidRPr="00A34CD9">
        <w:rPr>
          <w:rFonts w:cstheme="minorHAnsi"/>
          <w:lang w:val="en-GB"/>
        </w:rPr>
        <w:t>temperature (TEM; °C) and its spatial gradient (</w:t>
      </w:r>
      <w:proofErr w:type="spellStart"/>
      <w:r w:rsidR="004049CB" w:rsidRPr="00A34CD9">
        <w:rPr>
          <w:rFonts w:cstheme="minorHAnsi"/>
          <w:lang w:val="en-GB"/>
        </w:rPr>
        <w:t>TEM</w:t>
      </w:r>
      <w:r w:rsidR="00D00009" w:rsidRPr="00A34CD9">
        <w:rPr>
          <w:rFonts w:cstheme="minorHAnsi"/>
          <w:lang w:val="en-GB"/>
        </w:rPr>
        <w:t>g</w:t>
      </w:r>
      <w:proofErr w:type="spellEnd"/>
      <w:r w:rsidR="00D00009" w:rsidRPr="00A34CD9">
        <w:rPr>
          <w:rFonts w:cstheme="minorHAnsi"/>
          <w:lang w:val="en-GB"/>
        </w:rPr>
        <w:t>)</w:t>
      </w:r>
      <w:r w:rsidR="004049CB" w:rsidRPr="00A34CD9">
        <w:rPr>
          <w:rFonts w:cstheme="minorHAnsi"/>
          <w:lang w:val="en-GB"/>
        </w:rPr>
        <w:t xml:space="preserve">, salinity (SAL; </w:t>
      </w:r>
      <w:proofErr w:type="spellStart"/>
      <w:r w:rsidR="004049CB" w:rsidRPr="00A34CD9">
        <w:rPr>
          <w:rFonts w:cstheme="minorHAnsi"/>
          <w:lang w:val="en-GB"/>
        </w:rPr>
        <w:t>psu</w:t>
      </w:r>
      <w:proofErr w:type="spellEnd"/>
      <w:r w:rsidR="004049CB" w:rsidRPr="00A34CD9">
        <w:rPr>
          <w:rFonts w:cstheme="minorHAnsi"/>
          <w:lang w:val="en-GB"/>
        </w:rPr>
        <w:t>), geostrophic velocity (</w:t>
      </w:r>
      <w:proofErr w:type="spellStart"/>
      <w:r w:rsidR="004049CB" w:rsidRPr="00A34CD9">
        <w:rPr>
          <w:rFonts w:cstheme="minorHAnsi"/>
          <w:lang w:val="en-GB"/>
        </w:rPr>
        <w:t>GVel</w:t>
      </w:r>
      <w:proofErr w:type="spellEnd"/>
      <w:r w:rsidR="004049CB" w:rsidRPr="00A34CD9">
        <w:rPr>
          <w:rFonts w:cstheme="minorHAnsi"/>
          <w:lang w:val="en-GB"/>
        </w:rPr>
        <w:t>; m s</w:t>
      </w:r>
      <w:r w:rsidR="004049CB" w:rsidRPr="00A34CD9">
        <w:rPr>
          <w:rFonts w:cstheme="minorHAnsi"/>
          <w:vertAlign w:val="superscript"/>
          <w:lang w:val="en-GB"/>
        </w:rPr>
        <w:t>−1</w:t>
      </w:r>
      <w:r w:rsidR="004049CB" w:rsidRPr="00A34CD9">
        <w:rPr>
          <w:rFonts w:cstheme="minorHAnsi"/>
          <w:lang w:val="en-GB"/>
        </w:rPr>
        <w:t xml:space="preserve">), </w:t>
      </w:r>
      <w:r w:rsidRPr="00A34CD9">
        <w:rPr>
          <w:rFonts w:cstheme="minorHAnsi"/>
          <w:lang w:val="en-GB"/>
        </w:rPr>
        <w:t>the depth of maximum temperature gradient (DTG; m)</w:t>
      </w:r>
      <w:r w:rsidR="004049CB" w:rsidRPr="00A34CD9">
        <w:rPr>
          <w:rFonts w:cstheme="minorHAnsi"/>
          <w:lang w:val="en-GB"/>
        </w:rPr>
        <w:t xml:space="preserve"> and the </w:t>
      </w:r>
      <w:r w:rsidRPr="00A34CD9">
        <w:rPr>
          <w:rFonts w:cstheme="minorHAnsi"/>
          <w:lang w:val="en-GB"/>
        </w:rPr>
        <w:t>maximum temperature gradient (MTG; °C m−1)</w:t>
      </w:r>
      <w:bookmarkEnd w:id="23"/>
      <w:r w:rsidRPr="00A34CD9">
        <w:rPr>
          <w:rFonts w:cstheme="minorHAnsi"/>
          <w:lang w:val="en-GB"/>
        </w:rPr>
        <w:t xml:space="preserve">. </w:t>
      </w:r>
      <w:r w:rsidR="00707E77" w:rsidRPr="00A34CD9">
        <w:rPr>
          <w:rFonts w:cstheme="minorHAnsi"/>
          <w:lang w:val="en-GB"/>
        </w:rPr>
        <w:t xml:space="preserve">Spatial fields of </w:t>
      </w:r>
      <w:r w:rsidR="00DF45F7" w:rsidRPr="00A34CD9">
        <w:rPr>
          <w:rFonts w:cstheme="minorHAnsi"/>
          <w:lang w:val="en-GB"/>
        </w:rPr>
        <w:t>physical</w:t>
      </w:r>
      <w:r w:rsidRPr="00A34CD9">
        <w:rPr>
          <w:rFonts w:cstheme="minorHAnsi"/>
          <w:lang w:val="en-GB"/>
        </w:rPr>
        <w:t xml:space="preserve"> </w:t>
      </w:r>
      <w:r w:rsidR="002B2EAD" w:rsidRPr="00A34CD9">
        <w:rPr>
          <w:rFonts w:cstheme="minorHAnsi"/>
          <w:lang w:val="en-GB"/>
        </w:rPr>
        <w:t>variables</w:t>
      </w:r>
      <w:r w:rsidRPr="00A34CD9">
        <w:rPr>
          <w:rFonts w:cstheme="minorHAnsi"/>
          <w:lang w:val="en-GB"/>
        </w:rPr>
        <w:t xml:space="preserve"> were solved from vertical depth profiles</w:t>
      </w:r>
      <w:r w:rsidR="007B03D7" w:rsidRPr="00A34CD9">
        <w:rPr>
          <w:rFonts w:cstheme="minorHAnsi"/>
          <w:lang w:val="en-GB"/>
        </w:rPr>
        <w:t xml:space="preserve"> (from surface to </w:t>
      </w:r>
      <w:r w:rsidR="00707E77" w:rsidRPr="00A34CD9">
        <w:rPr>
          <w:rFonts w:cstheme="minorHAnsi"/>
          <w:lang w:val="en-GB"/>
        </w:rPr>
        <w:t>20</w:t>
      </w:r>
      <w:r w:rsidR="007B03D7" w:rsidRPr="00A34CD9">
        <w:rPr>
          <w:rFonts w:cstheme="minorHAnsi"/>
          <w:lang w:val="en-GB"/>
        </w:rPr>
        <w:t>0 m depth)</w:t>
      </w:r>
      <w:r w:rsidRPr="00A34CD9">
        <w:rPr>
          <w:rFonts w:cstheme="minorHAnsi"/>
          <w:lang w:val="en-GB"/>
        </w:rPr>
        <w:t xml:space="preserve"> of TEM and SAL obtained during CTD casts. Further methodological details </w:t>
      </w:r>
      <w:r w:rsidR="00F52D2B" w:rsidRPr="00A34CD9">
        <w:rPr>
          <w:rFonts w:cstheme="minorHAnsi"/>
          <w:lang w:val="en-GB"/>
        </w:rPr>
        <w:t xml:space="preserve">about prey and </w:t>
      </w:r>
      <w:r w:rsidR="00DF45F7" w:rsidRPr="00A34CD9">
        <w:rPr>
          <w:rFonts w:cstheme="minorHAnsi"/>
          <w:lang w:val="en-GB"/>
        </w:rPr>
        <w:t>physical</w:t>
      </w:r>
      <w:r w:rsidR="0064541F" w:rsidRPr="00A34CD9">
        <w:rPr>
          <w:rFonts w:cstheme="minorHAnsi"/>
          <w:lang w:val="en-GB"/>
        </w:rPr>
        <w:t xml:space="preserve"> variables </w:t>
      </w:r>
      <w:r w:rsidRPr="00A34CD9">
        <w:rPr>
          <w:rFonts w:cstheme="minorHAnsi"/>
          <w:lang w:val="en-GB"/>
        </w:rPr>
        <w:t xml:space="preserve">can be found in </w:t>
      </w:r>
      <w:r w:rsidR="005E340C" w:rsidRPr="00A34CD9">
        <w:rPr>
          <w:rFonts w:cstheme="minorHAnsi"/>
          <w:noProof/>
          <w:lang w:val="en-GB"/>
        </w:rPr>
        <w:t>Supplementary material</w:t>
      </w:r>
      <w:r w:rsidRPr="00A34CD9">
        <w:rPr>
          <w:rFonts w:cstheme="minorHAnsi"/>
          <w:lang w:val="en-GB"/>
        </w:rPr>
        <w:t>.</w:t>
      </w:r>
      <w:r w:rsidR="00B0612B" w:rsidRPr="00A34CD9">
        <w:rPr>
          <w:rFonts w:cstheme="minorHAnsi"/>
          <w:lang w:val="en-GB"/>
        </w:rPr>
        <w:t xml:space="preserve"> </w:t>
      </w:r>
      <w:r w:rsidR="00A14948" w:rsidRPr="00A34CD9">
        <w:rPr>
          <w:rFonts w:cstheme="minorHAnsi"/>
          <w:lang w:val="en-GB"/>
        </w:rPr>
        <w:t xml:space="preserve">Data </w:t>
      </w:r>
      <w:r w:rsidR="00707E77" w:rsidRPr="00A34CD9">
        <w:rPr>
          <w:rFonts w:cstheme="minorHAnsi"/>
          <w:lang w:val="en-GB"/>
        </w:rPr>
        <w:t>spatial resolution and correlation scales used for the interpolation allowed to solve the main mesoscale features in the area, including eddies and frontal areas.</w:t>
      </w:r>
    </w:p>
    <w:p w14:paraId="6CC8ADDC" w14:textId="77777777" w:rsidR="00DA06A1" w:rsidRPr="00A34CD9" w:rsidRDefault="00480313" w:rsidP="002A528E">
      <w:pPr>
        <w:suppressLineNumbers/>
        <w:spacing w:line="480" w:lineRule="auto"/>
        <w:jc w:val="both"/>
        <w:rPr>
          <w:rFonts w:cstheme="minorHAnsi"/>
          <w:lang w:val="en-GB"/>
        </w:rPr>
      </w:pPr>
      <w:r w:rsidRPr="00A34CD9">
        <w:rPr>
          <w:rFonts w:cstheme="minorHAnsi"/>
          <w:lang w:val="en-GB"/>
        </w:rPr>
        <w:t xml:space="preserve">Additionally, four physiographic </w:t>
      </w:r>
      <w:r w:rsidR="002B2EAD" w:rsidRPr="00A34CD9">
        <w:rPr>
          <w:rFonts w:cstheme="minorHAnsi"/>
          <w:lang w:val="en-GB"/>
        </w:rPr>
        <w:t>variables</w:t>
      </w:r>
      <w:r w:rsidRPr="00A34CD9">
        <w:rPr>
          <w:rFonts w:cstheme="minorHAnsi"/>
          <w:lang w:val="en-GB"/>
        </w:rPr>
        <w:t xml:space="preserve"> were </w:t>
      </w:r>
      <w:r w:rsidR="00D01CCE" w:rsidRPr="00A34CD9">
        <w:rPr>
          <w:rFonts w:cstheme="minorHAnsi"/>
          <w:lang w:val="en-GB"/>
        </w:rPr>
        <w:t>selected: bathymetry (BAT; m) and its spatial gradient (</w:t>
      </w:r>
      <w:proofErr w:type="spellStart"/>
      <w:r w:rsidR="00D01CCE" w:rsidRPr="00A34CD9">
        <w:rPr>
          <w:rFonts w:cstheme="minorHAnsi"/>
          <w:lang w:val="en-GB"/>
        </w:rPr>
        <w:t>BATg</w:t>
      </w:r>
      <w:proofErr w:type="spellEnd"/>
      <w:r w:rsidR="00D01CCE" w:rsidRPr="00A34CD9">
        <w:rPr>
          <w:rFonts w:cstheme="minorHAnsi"/>
          <w:lang w:val="en-GB"/>
        </w:rPr>
        <w:t>; dimensionless), the closest distance to the coastline (</w:t>
      </w:r>
      <w:proofErr w:type="spellStart"/>
      <w:r w:rsidR="00D01CCE" w:rsidRPr="00A34CD9">
        <w:rPr>
          <w:rFonts w:cstheme="minorHAnsi"/>
          <w:lang w:val="en-GB"/>
        </w:rPr>
        <w:t>DistCO</w:t>
      </w:r>
      <w:proofErr w:type="spellEnd"/>
      <w:r w:rsidR="00D01CCE" w:rsidRPr="00A34CD9">
        <w:rPr>
          <w:rFonts w:cstheme="minorHAnsi"/>
          <w:lang w:val="en-GB"/>
        </w:rPr>
        <w:t xml:space="preserve">; km) and to the </w:t>
      </w:r>
      <w:r w:rsidR="006E5699" w:rsidRPr="00A34CD9">
        <w:rPr>
          <w:rFonts w:cstheme="minorHAnsi"/>
          <w:lang w:val="en-GB"/>
        </w:rPr>
        <w:t>shelf-break</w:t>
      </w:r>
      <w:r w:rsidR="00D01CCE" w:rsidRPr="00A34CD9">
        <w:rPr>
          <w:rFonts w:cstheme="minorHAnsi"/>
          <w:lang w:val="en-GB"/>
        </w:rPr>
        <w:t xml:space="preserve"> (</w:t>
      </w:r>
      <w:r w:rsidR="00205726" w:rsidRPr="00A34CD9">
        <w:rPr>
          <w:rFonts w:cstheme="minorHAnsi"/>
          <w:lang w:val="en-GB"/>
        </w:rPr>
        <w:t xml:space="preserve">measured as the </w:t>
      </w:r>
      <w:r w:rsidR="00205726" w:rsidRPr="00A34CD9">
        <w:rPr>
          <w:rFonts w:cstheme="minorHAnsi"/>
          <w:lang w:val="en-GB"/>
        </w:rPr>
        <w:lastRenderedPageBreak/>
        <w:t xml:space="preserve">distance to the 200 m-isobath; </w:t>
      </w:r>
      <w:proofErr w:type="spellStart"/>
      <w:r w:rsidR="00D01CCE" w:rsidRPr="00A34CD9">
        <w:rPr>
          <w:rFonts w:cstheme="minorHAnsi"/>
          <w:lang w:val="en-GB"/>
        </w:rPr>
        <w:t>DistSB</w:t>
      </w:r>
      <w:proofErr w:type="spellEnd"/>
      <w:r w:rsidR="00D01CCE" w:rsidRPr="00A34CD9">
        <w:rPr>
          <w:rFonts w:cstheme="minorHAnsi"/>
          <w:lang w:val="en-GB"/>
        </w:rPr>
        <w:t xml:space="preserve">; km). </w:t>
      </w:r>
      <w:r w:rsidR="000C689B" w:rsidRPr="00A34CD9">
        <w:rPr>
          <w:rFonts w:cstheme="minorHAnsi"/>
          <w:lang w:val="en-GB"/>
        </w:rPr>
        <w:t xml:space="preserve">The four physiographic </w:t>
      </w:r>
      <w:r w:rsidR="002B2EAD" w:rsidRPr="00A34CD9">
        <w:rPr>
          <w:rFonts w:cstheme="minorHAnsi"/>
          <w:lang w:val="en-GB"/>
        </w:rPr>
        <w:t>variables</w:t>
      </w:r>
      <w:r w:rsidR="00AA1ED4" w:rsidRPr="00A34CD9">
        <w:rPr>
          <w:rFonts w:cstheme="minorHAnsi"/>
          <w:lang w:val="en-GB"/>
        </w:rPr>
        <w:t xml:space="preserve"> were </w:t>
      </w:r>
      <w:r w:rsidR="00205726" w:rsidRPr="00A34CD9">
        <w:rPr>
          <w:rFonts w:cstheme="minorHAnsi"/>
          <w:lang w:val="en-GB"/>
        </w:rPr>
        <w:t xml:space="preserve">directly </w:t>
      </w:r>
      <w:r w:rsidR="00AA1ED4" w:rsidRPr="00A34CD9">
        <w:rPr>
          <w:rFonts w:cstheme="minorHAnsi"/>
          <w:lang w:val="en-GB"/>
        </w:rPr>
        <w:t>obtained</w:t>
      </w:r>
      <w:r w:rsidR="000C689B" w:rsidRPr="00A34CD9">
        <w:rPr>
          <w:rFonts w:cstheme="minorHAnsi"/>
          <w:lang w:val="en-GB"/>
        </w:rPr>
        <w:t xml:space="preserve"> or calculated</w:t>
      </w:r>
      <w:r w:rsidR="00AA1ED4" w:rsidRPr="00A34CD9">
        <w:rPr>
          <w:rFonts w:cstheme="minorHAnsi"/>
          <w:lang w:val="en-GB"/>
        </w:rPr>
        <w:t xml:space="preserve"> </w:t>
      </w:r>
      <w:r w:rsidR="00DB233D" w:rsidRPr="00A34CD9">
        <w:rPr>
          <w:rFonts w:cstheme="minorHAnsi"/>
          <w:lang w:val="en-GB"/>
        </w:rPr>
        <w:t xml:space="preserve">at the spatial scale of the standard grid </w:t>
      </w:r>
      <w:r w:rsidR="00AA1ED4" w:rsidRPr="00A34CD9">
        <w:rPr>
          <w:rFonts w:cstheme="minorHAnsi"/>
          <w:lang w:val="en-GB"/>
        </w:rPr>
        <w:t xml:space="preserve">from ETOPO1 </w:t>
      </w:r>
      <w:r w:rsidR="00AA1ED4" w:rsidRPr="00A34CD9">
        <w:rPr>
          <w:rFonts w:cstheme="minorHAnsi"/>
          <w:lang w:val="en-GB"/>
        </w:rPr>
        <w:fldChar w:fldCharType="begin" w:fldLock="1"/>
      </w:r>
      <w:r w:rsidR="005E336E" w:rsidRPr="00A34CD9">
        <w:rPr>
          <w:rFonts w:cstheme="minorHAnsi"/>
          <w:lang w:val="en-GB"/>
        </w:rPr>
        <w:instrText>ADDIN CSL_CITATION {"citationItems":[{"id":"ITEM-1","itemData":{"DOI":"10.7289/V5C8276M","author":[{"dropping-particle":"","family":"Amante","given":"C.","non-dropping-particle":"","parse-names":false,"suffix":""},{"dropping-particle":"","family":"Eakins","given":"B.W.","non-dropping-particle":"","parse-names":false,"suffix":""}],"id":"ITEM-1","issued":{"date-parts":[["2009"]]},"title":"ETOPO1 1 arc-minute global relief model: procedures, data sources, and analysis. Tech Rep NESDIS NGDC-24.","type":"report"},"uris":["http://www.mendeley.com/documents/?uuid=9dd50521-f916-4469-b1a9-f4b083b2e06a"]}],"mendeley":{"formattedCitation":"(Amante and Eakins, 2009)","plainTextFormattedCitation":"(Amante and Eakins, 2009)","previouslyFormattedCitation":"(Amante and Eakins, 2009)"},"properties":{"noteIndex":0},"schema":"https://github.com/citation-style-language/schema/raw/master/csl-citation.json"}</w:instrText>
      </w:r>
      <w:r w:rsidR="00AA1ED4" w:rsidRPr="00A34CD9">
        <w:rPr>
          <w:rFonts w:cstheme="minorHAnsi"/>
          <w:lang w:val="en-GB"/>
        </w:rPr>
        <w:fldChar w:fldCharType="separate"/>
      </w:r>
      <w:r w:rsidR="003600F9" w:rsidRPr="00A34CD9">
        <w:rPr>
          <w:rFonts w:cstheme="minorHAnsi"/>
          <w:noProof/>
          <w:lang w:val="en-GB"/>
        </w:rPr>
        <w:t>(Amante and Eakins, 2009)</w:t>
      </w:r>
      <w:r w:rsidR="00AA1ED4" w:rsidRPr="00A34CD9">
        <w:rPr>
          <w:rFonts w:cstheme="minorHAnsi"/>
          <w:lang w:val="en-GB"/>
        </w:rPr>
        <w:fldChar w:fldCharType="end"/>
      </w:r>
      <w:r w:rsidR="000C689B" w:rsidRPr="00A34CD9">
        <w:rPr>
          <w:rFonts w:cstheme="minorHAnsi"/>
          <w:lang w:val="en-GB"/>
        </w:rPr>
        <w:t>.</w:t>
      </w:r>
    </w:p>
    <w:p w14:paraId="5112718B" w14:textId="5A7463CB" w:rsidR="00F32AA7" w:rsidRPr="00A34CD9" w:rsidRDefault="00F32AA7" w:rsidP="002A528E">
      <w:pPr>
        <w:suppressLineNumbers/>
        <w:spacing w:line="480" w:lineRule="auto"/>
        <w:jc w:val="both"/>
        <w:rPr>
          <w:rFonts w:cstheme="minorHAnsi"/>
          <w:lang w:val="en-GB"/>
        </w:rPr>
      </w:pPr>
      <w:r w:rsidRPr="00A34CD9">
        <w:rPr>
          <w:rFonts w:cstheme="minorHAnsi"/>
          <w:lang w:val="en-GB"/>
        </w:rPr>
        <w:t xml:space="preserve">Louzao </w:t>
      </w:r>
      <w:r w:rsidRPr="00A34CD9">
        <w:rPr>
          <w:rFonts w:cstheme="minorHAnsi"/>
          <w:i/>
          <w:iCs/>
          <w:lang w:val="en-GB"/>
        </w:rPr>
        <w:t>et al.</w:t>
      </w:r>
      <w:r w:rsidRPr="00A34CD9">
        <w:rPr>
          <w:rFonts w:cstheme="minorHAnsi"/>
          <w:lang w:val="en-GB"/>
        </w:rPr>
        <w:t xml:space="preserve"> (2019) demonstrated that 3D environment of the great shearwater in the </w:t>
      </w:r>
      <w:proofErr w:type="spellStart"/>
      <w:r w:rsidRPr="00A34CD9">
        <w:rPr>
          <w:rFonts w:cstheme="minorHAnsi"/>
          <w:lang w:val="en-GB"/>
        </w:rPr>
        <w:t>BoB</w:t>
      </w:r>
      <w:proofErr w:type="spellEnd"/>
      <w:r w:rsidRPr="00A34CD9">
        <w:rPr>
          <w:rFonts w:cstheme="minorHAnsi"/>
          <w:lang w:val="en-GB"/>
        </w:rPr>
        <w:t xml:space="preserve"> were better explained by the shallowest </w:t>
      </w:r>
      <w:r w:rsidR="00DF45F7" w:rsidRPr="00A34CD9">
        <w:rPr>
          <w:rFonts w:cstheme="minorHAnsi"/>
          <w:lang w:val="en-GB"/>
        </w:rPr>
        <w:t>physical</w:t>
      </w:r>
      <w:r w:rsidRPr="00A34CD9">
        <w:rPr>
          <w:rFonts w:cstheme="minorHAnsi"/>
          <w:lang w:val="en-GB"/>
        </w:rPr>
        <w:t xml:space="preserve"> and trophic conditions. Consequently, prey variables represented the sum of their biomass from 5 to 15 m depth and the </w:t>
      </w:r>
      <w:r w:rsidR="00DF45F7" w:rsidRPr="00A34CD9">
        <w:rPr>
          <w:rFonts w:cstheme="minorHAnsi"/>
          <w:lang w:val="en-GB"/>
        </w:rPr>
        <w:t>physical</w:t>
      </w:r>
      <w:r w:rsidRPr="00A34CD9">
        <w:rPr>
          <w:rFonts w:cstheme="minorHAnsi"/>
          <w:lang w:val="en-GB"/>
        </w:rPr>
        <w:t xml:space="preserve"> variables TEM, SAL and </w:t>
      </w:r>
      <w:proofErr w:type="spellStart"/>
      <w:r w:rsidRPr="00A34CD9">
        <w:rPr>
          <w:rFonts w:cstheme="minorHAnsi"/>
          <w:lang w:val="en-GB"/>
        </w:rPr>
        <w:t>GVel</w:t>
      </w:r>
      <w:proofErr w:type="spellEnd"/>
      <w:r w:rsidRPr="00A34CD9">
        <w:rPr>
          <w:rFonts w:cstheme="minorHAnsi"/>
          <w:lang w:val="en-GB"/>
        </w:rPr>
        <w:t xml:space="preserve"> were described by the shallowest depth available, </w:t>
      </w:r>
      <w:r w:rsidR="00573604" w:rsidRPr="00A34CD9">
        <w:rPr>
          <w:rFonts w:cstheme="minorHAnsi"/>
          <w:i/>
          <w:iCs/>
          <w:lang w:val="en-GB"/>
        </w:rPr>
        <w:t>i.e.,</w:t>
      </w:r>
      <w:r w:rsidRPr="00A34CD9">
        <w:rPr>
          <w:rFonts w:cstheme="minorHAnsi"/>
          <w:i/>
          <w:iCs/>
          <w:lang w:val="en-GB"/>
        </w:rPr>
        <w:t xml:space="preserve"> </w:t>
      </w:r>
      <w:r w:rsidRPr="00A34CD9">
        <w:rPr>
          <w:rFonts w:cstheme="minorHAnsi"/>
          <w:lang w:val="en-GB"/>
        </w:rPr>
        <w:t xml:space="preserve">10 m depth. The remaining </w:t>
      </w:r>
      <w:r w:rsidR="00DF45F7" w:rsidRPr="00A34CD9">
        <w:rPr>
          <w:rFonts w:cstheme="minorHAnsi"/>
          <w:lang w:val="en-GB"/>
        </w:rPr>
        <w:t>physical</w:t>
      </w:r>
      <w:r w:rsidRPr="00A34CD9">
        <w:rPr>
          <w:rFonts w:cstheme="minorHAnsi"/>
          <w:lang w:val="en-GB"/>
        </w:rPr>
        <w:t xml:space="preserve"> variables (DTG, MTG and </w:t>
      </w:r>
      <w:proofErr w:type="spellStart"/>
      <w:r w:rsidRPr="00A34CD9">
        <w:rPr>
          <w:rFonts w:cstheme="minorHAnsi"/>
          <w:lang w:val="en-GB"/>
        </w:rPr>
        <w:t>TEMg</w:t>
      </w:r>
      <w:proofErr w:type="spellEnd"/>
      <w:r w:rsidRPr="00A34CD9">
        <w:rPr>
          <w:rFonts w:cstheme="minorHAnsi"/>
          <w:lang w:val="en-GB"/>
        </w:rPr>
        <w:t>) and the physiographic variables were not modified by any vertical criteria.</w:t>
      </w:r>
    </w:p>
    <w:p w14:paraId="3DE8B937" w14:textId="2AE68290" w:rsidR="00170CC5" w:rsidRPr="00A34CD9" w:rsidRDefault="00170CC5" w:rsidP="002A528E">
      <w:pPr>
        <w:pStyle w:val="Prrafodelista"/>
        <w:numPr>
          <w:ilvl w:val="2"/>
          <w:numId w:val="3"/>
        </w:numPr>
        <w:suppressLineNumbers/>
        <w:spacing w:line="480" w:lineRule="auto"/>
        <w:outlineLvl w:val="2"/>
        <w:rPr>
          <w:rFonts w:cstheme="minorHAnsi"/>
          <w:b/>
          <w:bCs/>
          <w:lang w:val="en-GB"/>
        </w:rPr>
      </w:pPr>
      <w:r w:rsidRPr="00A34CD9">
        <w:rPr>
          <w:rFonts w:cstheme="minorHAnsi"/>
          <w:b/>
          <w:bCs/>
          <w:lang w:val="en-GB"/>
        </w:rPr>
        <w:t>Artisanal tuna fisheries data</w:t>
      </w:r>
    </w:p>
    <w:p w14:paraId="3CE3F703" w14:textId="6F4298FF" w:rsidR="00A67E69" w:rsidRPr="00A34CD9" w:rsidRDefault="00D96EBF" w:rsidP="002A528E">
      <w:pPr>
        <w:suppressLineNumbers/>
        <w:spacing w:line="480" w:lineRule="auto"/>
        <w:jc w:val="both"/>
        <w:rPr>
          <w:rFonts w:cstheme="minorHAnsi"/>
          <w:lang w:val="en-GB"/>
        </w:rPr>
      </w:pPr>
      <w:r w:rsidRPr="00A34CD9">
        <w:rPr>
          <w:rFonts w:cstheme="minorHAnsi"/>
          <w:lang w:val="en-GB"/>
        </w:rPr>
        <w:t xml:space="preserve">Information on artisanal tuna fishing activity </w:t>
      </w:r>
      <w:r w:rsidR="0009300C" w:rsidRPr="00A34CD9">
        <w:rPr>
          <w:rFonts w:cstheme="minorHAnsi"/>
          <w:lang w:val="en-GB"/>
        </w:rPr>
        <w:t xml:space="preserve">during the 2013-2019 </w:t>
      </w:r>
      <w:r w:rsidR="008E46CB" w:rsidRPr="00A34CD9">
        <w:rPr>
          <w:rFonts w:cstheme="minorHAnsi"/>
          <w:lang w:val="en-GB"/>
        </w:rPr>
        <w:t xml:space="preserve">period </w:t>
      </w:r>
      <w:r w:rsidRPr="00A34CD9">
        <w:rPr>
          <w:rFonts w:cstheme="minorHAnsi"/>
          <w:lang w:val="en-GB"/>
        </w:rPr>
        <w:t xml:space="preserve">was obtained from </w:t>
      </w:r>
      <w:r w:rsidR="008E46CB" w:rsidRPr="00A34CD9">
        <w:rPr>
          <w:rFonts w:cstheme="minorHAnsi"/>
          <w:lang w:val="en-GB"/>
        </w:rPr>
        <w:t xml:space="preserve">the </w:t>
      </w:r>
      <w:r w:rsidRPr="00A34CD9">
        <w:rPr>
          <w:rFonts w:cstheme="minorHAnsi"/>
          <w:lang w:val="en-GB"/>
        </w:rPr>
        <w:t xml:space="preserve">vessel monitoring system (VMS) and </w:t>
      </w:r>
      <w:r w:rsidR="00335D12" w:rsidRPr="00A34CD9">
        <w:rPr>
          <w:rFonts w:cstheme="minorHAnsi"/>
          <w:lang w:val="en-GB"/>
        </w:rPr>
        <w:t>l</w:t>
      </w:r>
      <w:r w:rsidRPr="00A34CD9">
        <w:rPr>
          <w:rFonts w:cstheme="minorHAnsi"/>
          <w:lang w:val="en-GB"/>
        </w:rPr>
        <w:t xml:space="preserve">ogbooks </w:t>
      </w:r>
      <w:r w:rsidR="00184154" w:rsidRPr="00A34CD9">
        <w:rPr>
          <w:rFonts w:cstheme="minorHAnsi"/>
          <w:lang w:val="en-GB"/>
        </w:rPr>
        <w:t xml:space="preserve">data </w:t>
      </w:r>
      <w:r w:rsidRPr="00A34CD9">
        <w:rPr>
          <w:rFonts w:cstheme="minorHAnsi"/>
          <w:lang w:val="en-GB"/>
        </w:rPr>
        <w:t xml:space="preserve">provided by the Spanish General Secretary of Fisheries. </w:t>
      </w:r>
      <w:r w:rsidR="007A6DA1" w:rsidRPr="00A34CD9">
        <w:rPr>
          <w:rFonts w:cstheme="minorHAnsi"/>
          <w:lang w:val="en-GB"/>
        </w:rPr>
        <w:t xml:space="preserve">Whilst the VMS data provide information on the identity, position, speed, and heading of the vessels (European Commission, 2011), the logbooks report </w:t>
      </w:r>
      <w:r w:rsidR="0057528D" w:rsidRPr="00A34CD9">
        <w:rPr>
          <w:rFonts w:cstheme="minorHAnsi"/>
          <w:lang w:val="en-GB"/>
        </w:rPr>
        <w:t xml:space="preserve">the fishing gear used and the </w:t>
      </w:r>
      <w:r w:rsidR="007A6DA1" w:rsidRPr="00A34CD9">
        <w:rPr>
          <w:rFonts w:cstheme="minorHAnsi"/>
          <w:lang w:val="en-GB"/>
        </w:rPr>
        <w:t xml:space="preserve">effort at an aggregated spatial scale. </w:t>
      </w:r>
      <w:r w:rsidR="0090602B" w:rsidRPr="00A34CD9">
        <w:rPr>
          <w:rFonts w:cstheme="minorHAnsi"/>
          <w:lang w:val="en-GB"/>
        </w:rPr>
        <w:t>Thus, t</w:t>
      </w:r>
      <w:r w:rsidRPr="00A34CD9">
        <w:rPr>
          <w:rFonts w:cstheme="minorHAnsi"/>
          <w:lang w:val="en-GB"/>
        </w:rPr>
        <w:t>h</w:t>
      </w:r>
      <w:r w:rsidR="00184154" w:rsidRPr="00A34CD9">
        <w:rPr>
          <w:rFonts w:cstheme="minorHAnsi"/>
          <w:lang w:val="en-GB"/>
        </w:rPr>
        <w:t>ese data</w:t>
      </w:r>
      <w:r w:rsidRPr="00A34CD9">
        <w:rPr>
          <w:rFonts w:cstheme="minorHAnsi"/>
          <w:lang w:val="en-GB"/>
        </w:rPr>
        <w:t xml:space="preserve"> enabl</w:t>
      </w:r>
      <w:r w:rsidR="00184154" w:rsidRPr="00A34CD9">
        <w:rPr>
          <w:rFonts w:cstheme="minorHAnsi"/>
          <w:lang w:val="en-GB"/>
        </w:rPr>
        <w:t>e the</w:t>
      </w:r>
      <w:r w:rsidRPr="00A34CD9">
        <w:rPr>
          <w:rFonts w:cstheme="minorHAnsi"/>
          <w:lang w:val="en-GB"/>
        </w:rPr>
        <w:t xml:space="preserve"> analyses of the spatial and temporal distribution of disaggregated fishing activity</w:t>
      </w:r>
      <w:r w:rsidR="00184154" w:rsidRPr="00A34CD9">
        <w:rPr>
          <w:rFonts w:cstheme="minorHAnsi"/>
          <w:lang w:val="en-GB"/>
        </w:rPr>
        <w:t xml:space="preserve"> to distinguish between</w:t>
      </w:r>
      <w:r w:rsidR="0097190D" w:rsidRPr="00A34CD9">
        <w:rPr>
          <w:rFonts w:cstheme="minorHAnsi"/>
          <w:lang w:val="en-GB"/>
        </w:rPr>
        <w:t xml:space="preserve"> </w:t>
      </w:r>
      <w:r w:rsidR="00146575" w:rsidRPr="00A34CD9">
        <w:rPr>
          <w:rFonts w:cstheme="minorHAnsi"/>
          <w:lang w:val="en-GB"/>
        </w:rPr>
        <w:t>metiers</w:t>
      </w:r>
      <w:r w:rsidR="0097190D" w:rsidRPr="00A34CD9">
        <w:rPr>
          <w:rFonts w:cstheme="minorHAnsi"/>
          <w:lang w:val="en-GB"/>
        </w:rPr>
        <w:t xml:space="preserve"> and</w:t>
      </w:r>
      <w:r w:rsidR="00184154" w:rsidRPr="00A34CD9">
        <w:rPr>
          <w:rFonts w:cstheme="minorHAnsi"/>
          <w:lang w:val="en-GB"/>
        </w:rPr>
        <w:t xml:space="preserve"> fishing</w:t>
      </w:r>
      <w:r w:rsidR="0097190D" w:rsidRPr="00A34CD9">
        <w:rPr>
          <w:rFonts w:cstheme="minorHAnsi"/>
          <w:lang w:val="en-GB"/>
        </w:rPr>
        <w:t xml:space="preserve"> and non-fishing</w:t>
      </w:r>
      <w:r w:rsidR="00184154" w:rsidRPr="00A34CD9">
        <w:rPr>
          <w:rFonts w:cstheme="minorHAnsi"/>
          <w:lang w:val="en-GB"/>
        </w:rPr>
        <w:t xml:space="preserve"> effort</w:t>
      </w:r>
      <w:r w:rsidR="00494ED3" w:rsidRPr="00A34CD9">
        <w:rPr>
          <w:rFonts w:cstheme="minorHAnsi"/>
          <w:lang w:val="en-GB"/>
        </w:rPr>
        <w:t xml:space="preserve"> </w:t>
      </w:r>
      <w:r w:rsidR="00184154" w:rsidRPr="00A34CD9">
        <w:rPr>
          <w:rFonts w:cstheme="minorHAnsi"/>
          <w:lang w:val="en-GB"/>
        </w:rPr>
        <w:fldChar w:fldCharType="begin" w:fldLock="1"/>
      </w:r>
      <w:r w:rsidR="005E336E" w:rsidRPr="00A34CD9">
        <w:rPr>
          <w:rFonts w:cstheme="minorHAnsi"/>
          <w:lang w:val="en-GB"/>
        </w:rPr>
        <w:instrText>ADDIN CSL_CITATION {"citationItems":[{"id":"ITEM-1","itemData":{"DOI":"10.1016/j.fishres.2010.06.016","ISSN":"01657836","abstract":"Individual tracking of commercial fishing vessels from vessel monitoring systems (VMS) is now widely available across Europe for scientific purposes. This enables analyses of the spatial and temporal distribution of disaggregated fishing activity as well as high resolution determination of the consequent relative fishing pressure on stocks, provided that an accurate method can link these data with the declaration of catches (logbooks). In the present study, logbook analyses to allocate the fishing activity due to various fisheries (fleet segments) are integrated with processing of raw satellite-recorded data for identifying trips at sea and fishing sequences. Both data sources are linked into one output dataset. A robust method is developed to allocate logbook catches to VMS positions, with focus on potential mismatch. The method is applied to data on the Danish Skagerrak-Kattegat fishing fleets from 2005 to 2008, where 52-56% of the VMS total effort perfectly matched (representing approximately 80% of landings); 14-18% partially matched; and 30% failed to match the logbook data, which was partially related to fleet type, area and year. Comparison of three methods for generating high resolution determination of grid-based fishing effort demonstrated only minor differences, suggesting a mainly equal dispatch of landings between each of the merged fishing positions. Despite possibly poor matching success for this particular region, we demonstrate that the approach can cope with the potentially large sources of error in the data, including the current low accuracy of available VMS pre-processing algorithms and the possible misreporting of areas and catch dates in fishermen's logbook declarations. © 2010 Elsevier B.V.","author":[{"dropping-particle":"","family":"Bastardie","given":"Francois","non-dropping-particle":"","parse-names":false,"suffix":""},{"dropping-particle":"","family":"Nielsen","given":"J. Rasmus","non-dropping-particle":"","parse-names":false,"suffix":""},{"dropping-particle":"","family":"Ulrich","given":"Clara","non-dropping-particle":"","parse-names":false,"suffix":""},{"dropping-particle":"","family":"Egekvist","given":"Josefine","non-dropping-particle":"","parse-names":false,"suffix":""},{"dropping-particle":"","family":"Degel","given":"Henrik","non-dropping-particle":"","parse-names":false,"suffix":""}],"container-title":"Fisheries Research","id":"ITEM-1","issue":"1","issued":{"date-parts":[["2010"]]},"page":"41-53","publisher":"Elsevier B.V.","title":"Detailed mapping of fishing effort and landings by coupling fishing logbooks with satellite-recorded vessel geo-location","type":"article-journal","volume":"106"},"uris":["http://www.mendeley.com/documents/?uuid=1a8f3218-9b05-41ae-80cd-209da4d7739e"]}],"mendeley":{"formattedCitation":"(Bastardie &lt;i&gt;et al.&lt;/i&gt;, 2010)","plainTextFormattedCitation":"(Bastardie et al., 2010)","previouslyFormattedCitation":"(Bastardie &lt;i&gt;et al.&lt;/i&gt;, 2010)"},"properties":{"noteIndex":0},"schema":"https://github.com/citation-style-language/schema/raw/master/csl-citation.json"}</w:instrText>
      </w:r>
      <w:r w:rsidR="00184154" w:rsidRPr="00A34CD9">
        <w:rPr>
          <w:rFonts w:cstheme="minorHAnsi"/>
          <w:lang w:val="en-GB"/>
        </w:rPr>
        <w:fldChar w:fldCharType="separate"/>
      </w:r>
      <w:r w:rsidR="003600F9" w:rsidRPr="00A34CD9">
        <w:rPr>
          <w:rFonts w:cstheme="minorHAnsi"/>
          <w:noProof/>
          <w:lang w:val="en-GB"/>
        </w:rPr>
        <w:t xml:space="preserve">(Bastardie </w:t>
      </w:r>
      <w:r w:rsidR="003600F9" w:rsidRPr="00A34CD9">
        <w:rPr>
          <w:rFonts w:cstheme="minorHAnsi"/>
          <w:i/>
          <w:noProof/>
          <w:lang w:val="en-GB"/>
        </w:rPr>
        <w:t>et al.</w:t>
      </w:r>
      <w:r w:rsidR="003600F9" w:rsidRPr="00A34CD9">
        <w:rPr>
          <w:rFonts w:cstheme="minorHAnsi"/>
          <w:noProof/>
          <w:lang w:val="en-GB"/>
        </w:rPr>
        <w:t>, 2010)</w:t>
      </w:r>
      <w:r w:rsidR="00184154" w:rsidRPr="00A34CD9">
        <w:rPr>
          <w:rFonts w:cstheme="minorHAnsi"/>
          <w:lang w:val="en-GB"/>
        </w:rPr>
        <w:fldChar w:fldCharType="end"/>
      </w:r>
      <w:r w:rsidR="00184154" w:rsidRPr="00A34CD9">
        <w:rPr>
          <w:rFonts w:cstheme="minorHAnsi"/>
          <w:lang w:val="en-GB"/>
        </w:rPr>
        <w:t>.</w:t>
      </w:r>
      <w:r w:rsidR="007A6DA1" w:rsidRPr="00A34CD9">
        <w:rPr>
          <w:rFonts w:cstheme="minorHAnsi"/>
          <w:lang w:val="en-GB"/>
        </w:rPr>
        <w:t xml:space="preserve"> </w:t>
      </w:r>
      <w:r w:rsidR="00591733" w:rsidRPr="00A34CD9">
        <w:rPr>
          <w:rFonts w:cstheme="minorHAnsi"/>
          <w:lang w:val="en-GB"/>
        </w:rPr>
        <w:t>Finally, data on great shearwater bycatch events were obtained from an observer monitoring programme implemented</w:t>
      </w:r>
      <w:r w:rsidR="00231206" w:rsidRPr="00A34CD9">
        <w:rPr>
          <w:rFonts w:cstheme="minorHAnsi"/>
          <w:lang w:val="en-GB"/>
        </w:rPr>
        <w:t xml:space="preserve"> by AZTI</w:t>
      </w:r>
      <w:r w:rsidR="00591733" w:rsidRPr="00A34CD9">
        <w:rPr>
          <w:rFonts w:cstheme="minorHAnsi"/>
          <w:lang w:val="en-GB"/>
        </w:rPr>
        <w:t xml:space="preserve"> </w:t>
      </w:r>
      <w:r w:rsidR="00231206" w:rsidRPr="00A34CD9">
        <w:rPr>
          <w:rFonts w:cstheme="minorHAnsi"/>
          <w:lang w:val="en-GB"/>
        </w:rPr>
        <w:t>since</w:t>
      </w:r>
      <w:r w:rsidR="00591733" w:rsidRPr="00A34CD9">
        <w:rPr>
          <w:rFonts w:cstheme="minorHAnsi"/>
          <w:lang w:val="en-GB"/>
        </w:rPr>
        <w:t xml:space="preserve"> 2016</w:t>
      </w:r>
      <w:r w:rsidR="00231206" w:rsidRPr="00A34CD9">
        <w:rPr>
          <w:rFonts w:cstheme="minorHAnsi"/>
          <w:lang w:val="en-GB"/>
        </w:rPr>
        <w:t xml:space="preserve"> and 2017 in LHP and LTL, respectively </w:t>
      </w:r>
      <w:r w:rsidR="00591733" w:rsidRPr="00A34CD9">
        <w:rPr>
          <w:rFonts w:cstheme="minorHAnsi"/>
          <w:lang w:val="en-GB"/>
        </w:rPr>
        <w:t>to monitor discards and interaction with PET</w:t>
      </w:r>
      <w:r w:rsidR="0008299E" w:rsidRPr="00A34CD9">
        <w:rPr>
          <w:rFonts w:cstheme="minorHAnsi"/>
          <w:lang w:val="en-GB"/>
        </w:rPr>
        <w:t>s</w:t>
      </w:r>
      <w:r w:rsidR="00591733" w:rsidRPr="00A34CD9">
        <w:rPr>
          <w:rFonts w:cstheme="minorHAnsi"/>
          <w:lang w:val="en-GB"/>
        </w:rPr>
        <w:t xml:space="preserve"> </w:t>
      </w:r>
      <w:r w:rsidR="00DD5091" w:rsidRPr="00A34CD9">
        <w:rPr>
          <w:rFonts w:cstheme="minorHAnsi"/>
          <w:lang w:val="en-GB"/>
        </w:rPr>
        <w:t>during the fishing season</w:t>
      </w:r>
      <w:r w:rsidR="00591733" w:rsidRPr="00A34CD9">
        <w:rPr>
          <w:rFonts w:cstheme="minorHAnsi"/>
          <w:lang w:val="en-GB"/>
        </w:rPr>
        <w:t>.</w:t>
      </w:r>
    </w:p>
    <w:p w14:paraId="37519DF7" w14:textId="01EE7643" w:rsidR="006D0D7F" w:rsidRPr="00A34CD9" w:rsidRDefault="00AE126F" w:rsidP="002A528E">
      <w:pPr>
        <w:pStyle w:val="Prrafodelista"/>
        <w:numPr>
          <w:ilvl w:val="1"/>
          <w:numId w:val="3"/>
        </w:numPr>
        <w:suppressLineNumbers/>
        <w:spacing w:line="480" w:lineRule="auto"/>
        <w:outlineLvl w:val="1"/>
        <w:rPr>
          <w:rFonts w:cstheme="minorHAnsi"/>
          <w:b/>
          <w:bCs/>
          <w:sz w:val="24"/>
          <w:szCs w:val="24"/>
          <w:lang w:val="en-GB"/>
        </w:rPr>
      </w:pPr>
      <w:r w:rsidRPr="00A34CD9">
        <w:rPr>
          <w:rFonts w:cstheme="minorHAnsi"/>
          <w:b/>
          <w:bCs/>
          <w:sz w:val="24"/>
          <w:szCs w:val="24"/>
          <w:lang w:val="en-GB"/>
        </w:rPr>
        <w:t>Density surface</w:t>
      </w:r>
      <w:r w:rsidR="00B21132" w:rsidRPr="00A34CD9">
        <w:rPr>
          <w:rFonts w:cstheme="minorHAnsi"/>
          <w:b/>
          <w:bCs/>
          <w:sz w:val="24"/>
          <w:szCs w:val="24"/>
          <w:lang w:val="en-GB"/>
        </w:rPr>
        <w:t xml:space="preserve"> </w:t>
      </w:r>
      <w:r w:rsidR="00AE665B" w:rsidRPr="00A34CD9">
        <w:rPr>
          <w:rFonts w:cstheme="minorHAnsi"/>
          <w:b/>
          <w:bCs/>
          <w:sz w:val="24"/>
          <w:szCs w:val="24"/>
          <w:lang w:val="en-GB"/>
        </w:rPr>
        <w:t>m</w:t>
      </w:r>
      <w:r w:rsidR="008A48F6" w:rsidRPr="00A34CD9">
        <w:rPr>
          <w:rFonts w:cstheme="minorHAnsi"/>
          <w:b/>
          <w:bCs/>
          <w:sz w:val="24"/>
          <w:szCs w:val="24"/>
          <w:lang w:val="en-GB"/>
        </w:rPr>
        <w:t>odelling</w:t>
      </w:r>
    </w:p>
    <w:p w14:paraId="343B9B5E" w14:textId="1DCFABED" w:rsidR="006726BD" w:rsidRPr="00A34CD9" w:rsidRDefault="008C2B83" w:rsidP="002A528E">
      <w:pPr>
        <w:numPr>
          <w:ilvl w:val="2"/>
          <w:numId w:val="3"/>
        </w:numPr>
        <w:suppressLineNumbers/>
        <w:spacing w:line="480" w:lineRule="auto"/>
        <w:outlineLvl w:val="2"/>
        <w:rPr>
          <w:rFonts w:cstheme="minorHAnsi"/>
          <w:b/>
          <w:bCs/>
          <w:lang w:val="en-GB"/>
        </w:rPr>
      </w:pPr>
      <w:r w:rsidRPr="00A34CD9">
        <w:rPr>
          <w:rFonts w:cstheme="minorHAnsi"/>
          <w:b/>
          <w:bCs/>
          <w:lang w:val="en-GB"/>
        </w:rPr>
        <w:t>Species detectability based on environmental conditions</w:t>
      </w:r>
    </w:p>
    <w:p w14:paraId="7EAEF28B" w14:textId="00758963" w:rsidR="00ED5409" w:rsidRPr="00A34CD9" w:rsidRDefault="005E433F" w:rsidP="002A528E">
      <w:pPr>
        <w:suppressLineNumbers/>
        <w:spacing w:line="480" w:lineRule="auto"/>
        <w:jc w:val="both"/>
        <w:rPr>
          <w:rFonts w:cstheme="minorHAnsi"/>
          <w:lang w:val="en-GB"/>
        </w:rPr>
      </w:pPr>
      <w:r w:rsidRPr="00A34CD9">
        <w:rPr>
          <w:rFonts w:cstheme="minorHAnsi"/>
          <w:lang w:val="en-GB"/>
        </w:rPr>
        <w:t xml:space="preserve">Species detectability was modelled </w:t>
      </w:r>
      <w:r w:rsidR="00DA076E" w:rsidRPr="00A34CD9">
        <w:rPr>
          <w:rFonts w:cstheme="minorHAnsi"/>
          <w:lang w:val="en-GB"/>
        </w:rPr>
        <w:t xml:space="preserve">using </w:t>
      </w:r>
      <w:r w:rsidR="003037DD" w:rsidRPr="00A34CD9">
        <w:rPr>
          <w:rFonts w:cstheme="minorHAnsi"/>
          <w:lang w:val="en-GB"/>
        </w:rPr>
        <w:t>Conventional and Multiple-Covariate Distance Sampling (CDS and MCDS;</w:t>
      </w:r>
      <w:r w:rsidR="003037DD" w:rsidRPr="00A34CD9">
        <w:rPr>
          <w:rFonts w:cstheme="minorHAnsi"/>
          <w:lang w:val="en-GB"/>
        </w:rPr>
        <w:fldChar w:fldCharType="begin" w:fldLock="1"/>
      </w:r>
      <w:r w:rsidR="005E336E" w:rsidRPr="00A34CD9">
        <w:rPr>
          <w:rFonts w:cstheme="minorHAnsi"/>
          <w:lang w:val="en-GB"/>
        </w:rPr>
        <w:instrText>ADDIN CSL_CITATION {"citationItems":[{"id":"ITEM-1","itemData":{"DOI":"10.1007/s00531-004-0408-5","ISBN":"0198509278","ISSN":"10510761","PMID":"216","abstract":"Offers a comprehensive introduction to distance sampling, a statistical method used by many biologists and conservationists to estimate animal abundance. The text discusses point transect sampling and line transect sampling and also describes several other related techniques. There are updates on study design and field methods, laser range finders, theodolites and the GPS and advice is given on a wide range of survey methods. Analysis methods have also been generalized, through the use of various types of multiplier and exercises for students in wildlife and conservation management are included.","author":[{"dropping-particle":"","family":"Buckland","given":"S T","non-dropping-particle":"","parse-names":false,"suffix":""},{"dropping-particle":"","family":"Anderson","given":"D R","non-dropping-particle":"","parse-names":false,"suffix":""},{"dropping-particle":"","family":"Burnham","given":"K P","non-dropping-particle":"","parse-names":false,"suffix":""},{"dropping-particle":"","family":"Laake","given":"J L","non-dropping-particle":"","parse-names":false,"suffix":""},{"dropping-particle":"","family":"Borchers","given":"D L","non-dropping-particle":"","parse-names":false,"suffix":""},{"dropping-particle":"","family":"Thomas","given":"L","non-dropping-particle":"","parse-names":false,"suffix":""}],"id":"ITEM-1","issued":{"date-parts":[["2001"]]},"number-of-pages":"432","publisher":"Oxford University Press. Oxford","title":"Introduction to distance sampling: estimating abundance of biological populations","type":"book","volume":"10"},"uris":["http://www.mendeley.com/documents/?uuid=015563b0-600d-3cbd-946a-819fa6408127"]},{"id":"ITEM-2","itemData":{"author":[{"dropping-particle":"","family":"Marques","given":"F. F. C.","non-dropping-particle":"","parse-names":false,"suffix":""},{"dropping-particle":"","family":"Buckland","given":"S. T.","non-dropping-particle":"","parse-names":false,"suffix":""}],"container-title":"Advanced Distance Sampling","editor":[{"dropping-particle":"","family":"Buckland","given":"S.T.","non-dropping-particle":"","parse-names":false,"suffix":""},{"dropping-particle":"","family":"Anderson","given":"D.R.","non-dropping-particle":"","parse-names":false,"suffix":""},{"dropping-particle":"","family":"Burnham","given":"K.P.","non-dropping-particle":"","parse-names":false,"suffix":""},{"dropping-particle":"","family":"Thomas","given":"L.","non-dropping-particle":"","parse-names":false,"suffix":""}],"id":"ITEM-2","issued":{"date-parts":[["2004"]]},"page":"31-47","publisher":"Oxford University Press, Oxford.","title":"Covariate models for the detection function","type":"chapter"},"uris":["http://www.mendeley.com/documents/?uuid=a8689e0e-6e6f-3b89-a2d5-15f78d88863d"]}],"mendeley":{"formattedCitation":"(Buckland &lt;i&gt;et al.&lt;/i&gt;, 2001; Marques and Buckland, 2004)","manualFormatting":" Buckland et al. 2001; Marques &amp; Buckland 2004)","plainTextFormattedCitation":"(Buckland et al., 2001; Marques and Buckland, 2004)","previouslyFormattedCitation":"(Buckland &lt;i&gt;et al.&lt;/i&gt;, 2001; Marques and Buckland, 2004)"},"properties":{"noteIndex":0},"schema":"https://github.com/citation-style-language/schema/raw/master/csl-citation.json"}</w:instrText>
      </w:r>
      <w:r w:rsidR="003037DD" w:rsidRPr="00A34CD9">
        <w:rPr>
          <w:rFonts w:cstheme="minorHAnsi"/>
          <w:lang w:val="en-GB"/>
        </w:rPr>
        <w:fldChar w:fldCharType="separate"/>
      </w:r>
      <w:r w:rsidR="003037DD" w:rsidRPr="00A34CD9">
        <w:rPr>
          <w:rFonts w:cstheme="minorHAnsi"/>
          <w:noProof/>
          <w:lang w:val="en-GB"/>
        </w:rPr>
        <w:t xml:space="preserve"> Buckland </w:t>
      </w:r>
      <w:r w:rsidR="003037DD" w:rsidRPr="00A34CD9">
        <w:rPr>
          <w:rFonts w:cstheme="minorHAnsi"/>
          <w:i/>
          <w:iCs/>
          <w:noProof/>
          <w:lang w:val="en-GB"/>
        </w:rPr>
        <w:t>et al.</w:t>
      </w:r>
      <w:r w:rsidR="003037DD" w:rsidRPr="00A34CD9">
        <w:rPr>
          <w:rFonts w:cstheme="minorHAnsi"/>
          <w:noProof/>
          <w:lang w:val="en-GB"/>
        </w:rPr>
        <w:t xml:space="preserve"> 2001; Marques &amp; Buckland 2004)</w:t>
      </w:r>
      <w:r w:rsidR="003037DD" w:rsidRPr="00A34CD9">
        <w:rPr>
          <w:rFonts w:cstheme="minorHAnsi"/>
          <w:lang w:val="en-GB"/>
        </w:rPr>
        <w:fldChar w:fldCharType="end"/>
      </w:r>
      <w:r w:rsidR="00DA076E" w:rsidRPr="00A34CD9">
        <w:rPr>
          <w:rFonts w:cstheme="minorHAnsi"/>
          <w:lang w:val="en-GB"/>
        </w:rPr>
        <w:t>, the latter allowing</w:t>
      </w:r>
      <w:r w:rsidR="003037DD" w:rsidRPr="00A34CD9">
        <w:rPr>
          <w:rFonts w:cstheme="minorHAnsi"/>
          <w:lang w:val="en-GB"/>
        </w:rPr>
        <w:t xml:space="preserve"> to consider </w:t>
      </w:r>
      <w:r w:rsidR="00ED5409" w:rsidRPr="00A34CD9">
        <w:rPr>
          <w:rFonts w:cstheme="minorHAnsi"/>
          <w:lang w:val="en-GB"/>
        </w:rPr>
        <w:t xml:space="preserve">the effect of </w:t>
      </w:r>
      <w:r w:rsidR="003037DD" w:rsidRPr="00A34CD9">
        <w:rPr>
          <w:rFonts w:cstheme="minorHAnsi"/>
          <w:lang w:val="en-GB"/>
        </w:rPr>
        <w:t xml:space="preserve">the </w:t>
      </w:r>
      <w:r w:rsidR="00ED5409" w:rsidRPr="00A34CD9">
        <w:rPr>
          <w:rFonts w:cstheme="minorHAnsi"/>
          <w:lang w:val="en-GB"/>
        </w:rPr>
        <w:t>environmental conditions</w:t>
      </w:r>
      <w:r w:rsidR="003037DD" w:rsidRPr="00A34CD9">
        <w:rPr>
          <w:rFonts w:cstheme="minorHAnsi"/>
          <w:lang w:val="en-GB"/>
        </w:rPr>
        <w:t xml:space="preserve"> during the</w:t>
      </w:r>
      <w:r w:rsidR="00BB0E6B" w:rsidRPr="00A34CD9">
        <w:rPr>
          <w:rFonts w:cstheme="minorHAnsi"/>
          <w:lang w:val="en-GB"/>
        </w:rPr>
        <w:t xml:space="preserve"> </w:t>
      </w:r>
      <w:r w:rsidR="00D5010E">
        <w:rPr>
          <w:rFonts w:cstheme="minorHAnsi"/>
          <w:lang w:val="en-GB"/>
        </w:rPr>
        <w:t>observation effort</w:t>
      </w:r>
      <w:r w:rsidR="00ED5409" w:rsidRPr="00A34CD9">
        <w:rPr>
          <w:rFonts w:cstheme="minorHAnsi"/>
          <w:lang w:val="en-GB"/>
        </w:rPr>
        <w:t>.</w:t>
      </w:r>
      <w:r w:rsidR="00AB5D8A" w:rsidRPr="00A34CD9">
        <w:rPr>
          <w:rFonts w:cstheme="minorHAnsi"/>
          <w:lang w:val="en-GB"/>
        </w:rPr>
        <w:t xml:space="preserve"> Detection functions were estimated pooling great shearwater sightings from the </w:t>
      </w:r>
      <w:r w:rsidR="00A969EC" w:rsidRPr="00A34CD9">
        <w:rPr>
          <w:rFonts w:cstheme="minorHAnsi"/>
          <w:lang w:val="en-GB"/>
        </w:rPr>
        <w:t>period</w:t>
      </w:r>
      <w:r w:rsidR="003C0BBA" w:rsidRPr="00A34CD9">
        <w:rPr>
          <w:rFonts w:cstheme="minorHAnsi"/>
          <w:lang w:val="en-GB"/>
        </w:rPr>
        <w:t xml:space="preserve"> 2013-2019</w:t>
      </w:r>
      <w:r w:rsidR="004B394C" w:rsidRPr="00A34CD9">
        <w:rPr>
          <w:rFonts w:cstheme="minorHAnsi"/>
          <w:lang w:val="en-GB"/>
        </w:rPr>
        <w:t xml:space="preserve"> (</w:t>
      </w:r>
      <w:r w:rsidR="008D0E63" w:rsidRPr="00A34CD9">
        <w:rPr>
          <w:rFonts w:cstheme="minorHAnsi"/>
          <w:color w:val="A6A6A6" w:themeColor="background1" w:themeShade="A6"/>
          <w:lang w:val="en-GB"/>
        </w:rPr>
        <w:t>Figure</w:t>
      </w:r>
      <w:r w:rsidR="004B394C" w:rsidRPr="00A34CD9">
        <w:rPr>
          <w:rFonts w:cstheme="minorHAnsi"/>
          <w:color w:val="A6A6A6" w:themeColor="background1" w:themeShade="A6"/>
          <w:lang w:val="en-GB"/>
        </w:rPr>
        <w:t xml:space="preserve"> 1</w:t>
      </w:r>
      <w:r w:rsidR="004B394C" w:rsidRPr="00A34CD9">
        <w:rPr>
          <w:rFonts w:cstheme="minorHAnsi"/>
          <w:lang w:val="en-GB"/>
        </w:rPr>
        <w:t>)</w:t>
      </w:r>
      <w:r w:rsidR="00AB5D8A" w:rsidRPr="00A34CD9">
        <w:rPr>
          <w:rFonts w:cstheme="minorHAnsi"/>
          <w:lang w:val="en-GB"/>
        </w:rPr>
        <w:t>. Only sightings with a Beaufort Sea‐state ≤5, wave height ≤2 m and overall medium and good visibility conditions were used to fit the detection functions</w:t>
      </w:r>
      <w:r w:rsidR="003C0BBA" w:rsidRPr="00A34CD9">
        <w:rPr>
          <w:rFonts w:cstheme="minorHAnsi"/>
          <w:lang w:val="en-GB"/>
        </w:rPr>
        <w:t xml:space="preserve"> </w:t>
      </w:r>
      <w:r w:rsidR="003C0BBA" w:rsidRPr="00A34CD9">
        <w:rPr>
          <w:rFonts w:cstheme="minorHAnsi"/>
          <w:lang w:val="en-GB"/>
        </w:rPr>
        <w:fldChar w:fldCharType="begin" w:fldLock="1"/>
      </w:r>
      <w:r w:rsidR="005E336E" w:rsidRPr="00A34CD9">
        <w:rPr>
          <w:rFonts w:cstheme="minorHAnsi"/>
          <w:lang w:val="en-GB"/>
        </w:rPr>
        <w:instrText>ADDIN CSL_CITATION {"citationItems":[{"id":"ITEM-1","itemData":{"DOI":"10.1111/ddi.12877","ISSN":"14724642","abstract":"Aim: During their migration, highly mobile species cross multiple jurisdictional boundaries and multiple not-specific marine protected areas (MPAs). When identifying the critical habitats where individuals aggregate, these areas can be ideal candidates for MPAs. This study was focused on the endangered fin whale (Balaenoptera physalus) for which there is little knowledge on its distribution and abundance in non-breeding temperate latitudes. Location: Bay of Biscay (BoB). Methods: Firstly, we modelled the relative abundance of fin whales by means of generalized additive models (GAMs) using data collected on the PELACUS (2007–2008) and JUVENA (2013–2016) oceanographic surveys during late summer. Secondly, we evaluated the reliability of the predictions by distinguishing environmental extrapolations and interpolations. Finally, we identified critical areas of highest predicted abundance and we assessed whether existing MPAs comprised within the Natura 2000 network and designated for other species offer protection to fin whales in the BoB. Results: Fin whales were especially abundant in deep off-shore waters, mainly associated with intermediate temperature water values in the inner part of the BoB. The years with the highest relative predicted abundances (an average of 1,500 whales) matched with years when warmer sea surface temperature extended into larger areas. In colder years, the average predicted abundance dropped to 400 whales. The main critical area for fin whales (defined by the highest 40% of abundance) was common for both surveys, and it was located in the south-eastern part of the BoB. Main conclusions: Our study contributes to the identification of important concentration areas of fin whales during late summer, based on reliable spatial predictions. The assessment of the current Natura 2000 network highlights the fact that only three MPAs marginally covered the critical area we have identified for fin whales. We propose a transboundary potential MPA to aid the conservation of the species in the BoB.","author":[{"dropping-particle":"","family":"García-Barón","given":"Isabel","non-dropping-particle":"","parse-names":false,"suffix":""},{"dropping-particle":"","family":"Authier","given":"Matthieu","non-dropping-particle":"","parse-names":false,"suffix":""},{"dropping-particle":"","family":"Caballero","given":"Ainhoa","non-dropping-particle":"","parse-names":false,"suffix":""},{"dropping-particle":"","family":"Vázquez","given":"José A.","non-dropping-particle":"","parse-names":false,"suffix":""},{"dropping-particle":"","family":"Santos","given":"M. Begoña","non-dropping-particle":"","parse-names":false,"suffix":""},{"dropping-particle":"","family":"Murcia","given":"José Luis","non-dropping-particle":"","parse-names":false,"suffix":""},{"dropping-particle":"","family":"Louzao","given":"Maite","non-dropping-particle":"","parse-names":false,"suffix":""}],"container-title":"Diversity and Distributions","id":"ITEM-1","issue":"3","issued":{"date-parts":[["2019","3","1"]]},"page":"346-360","publisher":"Blackwell Publishing Ltd","title":"Modelling the spatial abundance of a migratory predator: A call for transboundary marine protected areas","type":"article-journal","volume":"25"},"uris":["http://www.mendeley.com/documents/?uuid=de43059d-9bb8-33ab-b511-9f4ea9bc2ad4"]}],"mendeley":{"formattedCitation":"(García-Barón &lt;i&gt;et al.&lt;/i&gt;, 2019)","plainTextFormattedCitation":"(García-Barón et al., 2019)","previouslyFormattedCitation":"(García-Barón &lt;i&gt;et al.&lt;/i&gt;, 2019)"},"properties":{"noteIndex":0},"schema":"https://github.com/citation-style-language/schema/raw/master/csl-citation.json"}</w:instrText>
      </w:r>
      <w:r w:rsidR="003C0BBA" w:rsidRPr="00A34CD9">
        <w:rPr>
          <w:rFonts w:cstheme="minorHAnsi"/>
          <w:lang w:val="en-GB"/>
        </w:rPr>
        <w:fldChar w:fldCharType="separate"/>
      </w:r>
      <w:r w:rsidR="003600F9" w:rsidRPr="00A34CD9">
        <w:rPr>
          <w:rFonts w:cstheme="minorHAnsi"/>
          <w:noProof/>
          <w:lang w:val="en-GB"/>
        </w:rPr>
        <w:t>(García-</w:t>
      </w:r>
      <w:r w:rsidR="003600F9" w:rsidRPr="00A34CD9">
        <w:rPr>
          <w:rFonts w:cstheme="minorHAnsi"/>
          <w:noProof/>
          <w:lang w:val="en-GB"/>
        </w:rPr>
        <w:lastRenderedPageBreak/>
        <w:t xml:space="preserve">Barón </w:t>
      </w:r>
      <w:r w:rsidR="003600F9" w:rsidRPr="00A34CD9">
        <w:rPr>
          <w:rFonts w:cstheme="minorHAnsi"/>
          <w:i/>
          <w:noProof/>
          <w:lang w:val="en-GB"/>
        </w:rPr>
        <w:t>et al.</w:t>
      </w:r>
      <w:r w:rsidR="003600F9" w:rsidRPr="00A34CD9">
        <w:rPr>
          <w:rFonts w:cstheme="minorHAnsi"/>
          <w:noProof/>
          <w:lang w:val="en-GB"/>
        </w:rPr>
        <w:t>, 2019)</w:t>
      </w:r>
      <w:r w:rsidR="003C0BBA" w:rsidRPr="00A34CD9">
        <w:rPr>
          <w:rFonts w:cstheme="minorHAnsi"/>
          <w:lang w:val="en-GB"/>
        </w:rPr>
        <w:fldChar w:fldCharType="end"/>
      </w:r>
      <w:r w:rsidR="003C0BBA" w:rsidRPr="00A34CD9">
        <w:rPr>
          <w:rFonts w:cstheme="minorHAnsi"/>
          <w:lang w:val="en-GB"/>
        </w:rPr>
        <w:t xml:space="preserve">. </w:t>
      </w:r>
      <w:r w:rsidR="00D94A8B" w:rsidRPr="00A34CD9">
        <w:rPr>
          <w:rFonts w:cstheme="minorHAnsi"/>
          <w:lang w:val="en-GB"/>
        </w:rPr>
        <w:t xml:space="preserve">Perpendicular distances were truncated to exclude sightings beyond 600 m (around 5% of the individuals detected at the longest distances; </w:t>
      </w:r>
      <w:r w:rsidR="00D94A8B" w:rsidRPr="00A34CD9">
        <w:rPr>
          <w:rFonts w:cstheme="minorHAnsi"/>
          <w:lang w:val="en-GB"/>
        </w:rPr>
        <w:fldChar w:fldCharType="begin" w:fldLock="1"/>
      </w:r>
      <w:r w:rsidR="005E336E" w:rsidRPr="00A34CD9">
        <w:rPr>
          <w:rFonts w:cstheme="minorHAnsi"/>
          <w:lang w:val="en-GB"/>
        </w:rPr>
        <w:instrText>ADDIN CSL_CITATION {"citationItems":[{"id":"ITEM-1","itemData":{"DOI":"10.1007/s00531-004-0408-5","ISBN":"0198509278","ISSN":"10510761","PMID":"216","abstract":"Offers a comprehensive introduction to distance sampling, a statistical method used by many biologists and conservationists to estimate animal abundance. The text discusses point transect sampling and line transect sampling and also describes several other related techniques. There are updates on study design and field methods, laser range finders, theodolites and the GPS and advice is given on a wide range of survey methods. Analysis methods have also been generalized, through the use of various types of multiplier and exercises for students in wildlife and conservation management are included.","author":[{"dropping-particle":"","family":"Buckland","given":"S T","non-dropping-particle":"","parse-names":false,"suffix":""},{"dropping-particle":"","family":"Anderson","given":"D R","non-dropping-particle":"","parse-names":false,"suffix":""},{"dropping-particle":"","family":"Burnham","given":"K P","non-dropping-particle":"","parse-names":false,"suffix":""},{"dropping-particle":"","family":"Laake","given":"J L","non-dropping-particle":"","parse-names":false,"suffix":""},{"dropping-particle":"","family":"Borchers","given":"D L","non-dropping-particle":"","parse-names":false,"suffix":""},{"dropping-particle":"","family":"Thomas","given":"L","non-dropping-particle":"","parse-names":false,"suffix":""}],"id":"ITEM-1","issued":{"date-parts":[["2001"]]},"number-of-pages":"432","publisher":"Oxford University Press. Oxford","title":"Introduction to distance sampling: estimating abundance of biological populations","type":"book","volume":"10"},"uris":["http://www.mendeley.com/documents/?uuid=015563b0-600d-3cbd-946a-819fa6408127"]}],"mendeley":{"formattedCitation":"(Buckland &lt;i&gt;et al.&lt;/i&gt;, 2001)","manualFormatting":"Buckland et al. 2001)","plainTextFormattedCitation":"(Buckland et al., 2001)","previouslyFormattedCitation":"(Buckland &lt;i&gt;et al.&lt;/i&gt;, 2001)"},"properties":{"noteIndex":0},"schema":"https://github.com/citation-style-language/schema/raw/master/csl-citation.json"}</w:instrText>
      </w:r>
      <w:r w:rsidR="00D94A8B" w:rsidRPr="00A34CD9">
        <w:rPr>
          <w:rFonts w:cstheme="minorHAnsi"/>
          <w:lang w:val="en-GB"/>
        </w:rPr>
        <w:fldChar w:fldCharType="separate"/>
      </w:r>
      <w:r w:rsidR="00D94A8B" w:rsidRPr="00A34CD9">
        <w:rPr>
          <w:rFonts w:cstheme="minorHAnsi"/>
          <w:noProof/>
          <w:lang w:val="en-GB"/>
        </w:rPr>
        <w:t xml:space="preserve">Buckland </w:t>
      </w:r>
      <w:r w:rsidR="00D94A8B" w:rsidRPr="00A34CD9">
        <w:rPr>
          <w:rFonts w:cstheme="minorHAnsi"/>
          <w:i/>
          <w:iCs/>
          <w:noProof/>
          <w:lang w:val="en-GB"/>
        </w:rPr>
        <w:t>et al.</w:t>
      </w:r>
      <w:r w:rsidR="00D94A8B" w:rsidRPr="00A34CD9">
        <w:rPr>
          <w:rFonts w:cstheme="minorHAnsi"/>
          <w:noProof/>
          <w:lang w:val="en-GB"/>
        </w:rPr>
        <w:t xml:space="preserve"> 2001)</w:t>
      </w:r>
      <w:r w:rsidR="00D94A8B" w:rsidRPr="00A34CD9">
        <w:rPr>
          <w:rFonts w:cstheme="minorHAnsi"/>
          <w:lang w:val="en-GB"/>
        </w:rPr>
        <w:fldChar w:fldCharType="end"/>
      </w:r>
      <w:r w:rsidR="00D94A8B" w:rsidRPr="00A34CD9">
        <w:rPr>
          <w:rFonts w:cstheme="minorHAnsi"/>
          <w:lang w:val="en-GB"/>
        </w:rPr>
        <w:t xml:space="preserve"> and sightings of individuals attracted to the ship or associated with human activities (individuals following the R/V or scavenging on fishing discards) were excluded from further analyses</w:t>
      </w:r>
      <w:r w:rsidR="00975748" w:rsidRPr="00A34CD9">
        <w:rPr>
          <w:rFonts w:cstheme="minorHAnsi"/>
          <w:lang w:val="en-GB"/>
        </w:rPr>
        <w:t xml:space="preserve"> to avoid density overestimation</w:t>
      </w:r>
      <w:r w:rsidR="009436EF" w:rsidRPr="00A34CD9">
        <w:rPr>
          <w:rFonts w:cstheme="minorHAnsi"/>
          <w:lang w:val="en-GB"/>
        </w:rPr>
        <w:t xml:space="preserve"> </w:t>
      </w:r>
      <w:r w:rsidR="009436EF" w:rsidRPr="00A34CD9">
        <w:rPr>
          <w:rFonts w:cstheme="minorHAnsi"/>
          <w:lang w:val="en-GB"/>
        </w:rPr>
        <w:fldChar w:fldCharType="begin" w:fldLock="1"/>
      </w:r>
      <w:r w:rsidR="00AA0B74" w:rsidRPr="00A34CD9">
        <w:rPr>
          <w:rFonts w:cstheme="minorHAnsi"/>
          <w:lang w:val="en-GB"/>
        </w:rPr>
        <w:instrText>ADDIN CSL_CITATION {"citationItems":[{"id":"ITEM-1","itemData":{"DOI":"10.1016/j.pocean.2017.09.014","ISSN":"00796611","abstract":"Conservation has moved from species-centered to ecosystem-based approaches: the Marine Strategy Framework Directive requires the maintenance or restoration of 'Good Environmental Status' of all European marine waters. Monitoring biodiversity at the scale of whole ecosystems is salient, but challenging owing to the large spatial scale involved and the large spatio-temporal heterogeneity of marine ecosystems. We capitalized on the integrated ecosystemic PELGAS survey carried out in spring in the Bay of Biscay to document patterns of change in marine megafauna relative abundance at the community level over more than a decade (2004-2016). The relative abundance of the twenty-three most frequently sighted species (6 cetaceans and 17 seabirds) was estimated by distance sampling, and averaged over the study period and area. Temporal changes were investigated with a Dynamic Factor Analysis. This exploratory analysis suggested that approximately one third of all species showed an increase, another third a decrease, and the last third no overall change in relative abundance. The relative abundance of offshore species, including that of all studied cetaceans, slightly increased in spring between 2004 and 2016. Further investigations will correlate the uncovered changes at the marine megafauna community level with concommittent biological and oceanographic processes that are routinely monitored on the PELGAS integrated ecosystemic surveys.","author":[{"dropping-particle":"","family":"Authier","given":"Matthieu","non-dropping-particle":"","parse-names":false,"suffix":""},{"dropping-particle":"","family":"Dorémus","given":"Ghislain","non-dropping-particle":"","parse-names":false,"suffix":""},{"dropping-particle":"","family":"Canneyt","given":"Olivier","non-dropping-particle":"Van","parse-names":false,"suffix":""},{"dropping-particle":"","family":"Boubert","given":"Jean Jacques","non-dropping-particle":"","parse-names":false,"suffix":""},{"dropping-particle":"","family":"Gautier","given":"Gérard","non-dropping-particle":"","parse-names":false,"suffix":""},{"dropping-particle":"","family":"Doray","given":"Mathieu","non-dropping-particle":"","parse-names":false,"suffix":""},{"dropping-particle":"","family":"Duhamel","given":"Erwan","non-dropping-particle":"","parse-names":false,"suffix":""},{"dropping-particle":"","family":"Massé","given":"Jacques","non-dropping-particle":"","parse-names":false,"suffix":""},{"dropping-particle":"","family":"Petitgas","given":"Pierre","non-dropping-particle":"","parse-names":false,"suffix":""},{"dropping-particle":"","family":"Ridoux","given":"Vincent","non-dropping-particle":"","parse-names":false,"suffix":""},{"dropping-particle":"","family":"Spitz","given":"Jérôme","non-dropping-particle":"","parse-names":false,"suffix":""}],"container-title":"Progress in Oceanography","id":"ITEM-1","issued":{"date-parts":[["2018"]]},"page":"159-167","title":"Exploring change in the relative abundance of marine megafauna in the Bay of Biscay, 2004-2016","type":"article-journal","volume":"166"},"uris":["http://www.mendeley.com/documents/?uuid=5b25646d-fd71-3025-9178-7452affb8e13"]}],"mendeley":{"formattedCitation":"(Authier &lt;i&gt;et al.&lt;/i&gt;, 2018)","plainTextFormattedCitation":"(Authier et al., 2018)","previouslyFormattedCitation":"(Authier &lt;i&gt;et al.&lt;/i&gt;, 2018)"},"properties":{"noteIndex":0},"schema":"https://github.com/citation-style-language/schema/raw/master/csl-citation.json"}</w:instrText>
      </w:r>
      <w:r w:rsidR="009436EF" w:rsidRPr="00A34CD9">
        <w:rPr>
          <w:rFonts w:cstheme="minorHAnsi"/>
          <w:lang w:val="en-GB"/>
        </w:rPr>
        <w:fldChar w:fldCharType="separate"/>
      </w:r>
      <w:r w:rsidR="009436EF" w:rsidRPr="00A34CD9">
        <w:rPr>
          <w:rFonts w:cstheme="minorHAnsi"/>
          <w:noProof/>
          <w:lang w:val="en-GB"/>
        </w:rPr>
        <w:t xml:space="preserve">(Authier </w:t>
      </w:r>
      <w:r w:rsidR="009436EF" w:rsidRPr="00A34CD9">
        <w:rPr>
          <w:rFonts w:cstheme="minorHAnsi"/>
          <w:i/>
          <w:noProof/>
          <w:lang w:val="en-GB"/>
        </w:rPr>
        <w:t>et al.</w:t>
      </w:r>
      <w:r w:rsidR="009436EF" w:rsidRPr="00A34CD9">
        <w:rPr>
          <w:rFonts w:cstheme="minorHAnsi"/>
          <w:noProof/>
          <w:lang w:val="en-GB"/>
        </w:rPr>
        <w:t>, 2018)</w:t>
      </w:r>
      <w:r w:rsidR="009436EF" w:rsidRPr="00A34CD9">
        <w:rPr>
          <w:rFonts w:cstheme="minorHAnsi"/>
          <w:lang w:val="en-GB"/>
        </w:rPr>
        <w:fldChar w:fldCharType="end"/>
      </w:r>
      <w:r w:rsidR="00D94A8B" w:rsidRPr="00A34CD9">
        <w:rPr>
          <w:rFonts w:cstheme="minorHAnsi"/>
          <w:lang w:val="en-GB"/>
        </w:rPr>
        <w:t>.</w:t>
      </w:r>
      <w:r w:rsidR="00087603" w:rsidRPr="00A34CD9">
        <w:rPr>
          <w:rFonts w:cstheme="minorHAnsi"/>
          <w:lang w:val="en-GB"/>
        </w:rPr>
        <w:t xml:space="preserve"> </w:t>
      </w:r>
      <w:r w:rsidR="00401B8E" w:rsidRPr="00A34CD9">
        <w:rPr>
          <w:rFonts w:cstheme="minorHAnsi"/>
          <w:lang w:val="en-GB"/>
        </w:rPr>
        <w:t xml:space="preserve">Covariates considered in MCDS were </w:t>
      </w:r>
      <w:r w:rsidR="003C0BBA" w:rsidRPr="00A34CD9">
        <w:rPr>
          <w:rFonts w:cstheme="minorHAnsi"/>
          <w:lang w:val="en-GB"/>
        </w:rPr>
        <w:t>only those descriptors related to the effort</w:t>
      </w:r>
      <w:r w:rsidR="0011675B" w:rsidRPr="00A34CD9">
        <w:rPr>
          <w:rFonts w:cstheme="minorHAnsi"/>
          <w:lang w:val="en-GB"/>
        </w:rPr>
        <w:t xml:space="preserve"> </w:t>
      </w:r>
      <w:r w:rsidR="0011675B" w:rsidRPr="00A34CD9">
        <w:rPr>
          <w:rFonts w:cstheme="minorHAnsi"/>
          <w:lang w:val="en-GB"/>
        </w:rPr>
        <w:fldChar w:fldCharType="begin" w:fldLock="1"/>
      </w:r>
      <w:r w:rsidR="005E336E" w:rsidRPr="00A34CD9">
        <w:rPr>
          <w:rFonts w:cstheme="minorHAnsi"/>
          <w:lang w:val="en-GB"/>
        </w:rPr>
        <w:instrText>ADDIN CSL_CITATION {"citationItems":[{"id":"ITEM-1","itemData":{"DOI":"10.1111/ddi.13229","ISSN":"1054-3139","author":[{"dropping-particle":"","family":"Astarloa","given":"Amaia","non-dropping-particle":"","parse-names":false,"suffix":""},{"dropping-particle":"","family":"Glennie","given":"Richarcd","non-dropping-particle":"","parse-names":false,"suffix":""},{"dropping-particle":"","family":"Chust","given":"Guillem","non-dropping-particle":"","parse-names":false,"suffix":""},{"dropping-particle":"","family":"García-Barón","given":"Isabel","non-dropping-particle":"","parse-names":false,"suffix":""},{"dropping-particle":"","family":"Boyra","given":"Guillermo","non-dropping-particle":"","parse-names":false,"suffix":""},{"dropping-particle":"","family":"Martinez","given":"Udane","non-dropping-particle":"","parse-names":false,"suffix":""},{"dropping-particle":"","family":"Rubio","given":"Anna","non-dropping-particle":"","parse-names":false,"suffix":""},{"dropping-particle":"","family":"Louzao","given":"Maite","non-dropping-particle":"","parse-names":false,"suffix":""}],"container-title":"Diversity and Distributions","editor":[{"dropping-particle":"","family":"Beger","given":"Maria","non-dropping-particle":"","parse-names":false,"suffix":""}],"id":"ITEM-1","issue":"5","issued":{"date-parts":[["2021","3","11"]]},"page":"799-815","title":"Niche segregation mechanisms in marine apex predators inhabiting dynamic environments","type":"article-journal","volume":"27"},"uris":["http://www.mendeley.com/documents/?uuid=10d2bcc7-4f97-3196-a290-94c23fa16952"]}],"mendeley":{"formattedCitation":"(Astarloa &lt;i&gt;et al.&lt;/i&gt;, 2021)","plainTextFormattedCitation":"(Astarloa et al., 2021)","previouslyFormattedCitation":"(Astarloa &lt;i&gt;et al.&lt;/i&gt;, 2021)"},"properties":{"noteIndex":0},"schema":"https://github.com/citation-style-language/schema/raw/master/csl-citation.json"}</w:instrText>
      </w:r>
      <w:r w:rsidR="0011675B" w:rsidRPr="00A34CD9">
        <w:rPr>
          <w:rFonts w:cstheme="minorHAnsi"/>
          <w:lang w:val="en-GB"/>
        </w:rPr>
        <w:fldChar w:fldCharType="separate"/>
      </w:r>
      <w:r w:rsidR="003600F9" w:rsidRPr="00A34CD9">
        <w:rPr>
          <w:rFonts w:cstheme="minorHAnsi"/>
          <w:noProof/>
          <w:lang w:val="en-GB"/>
        </w:rPr>
        <w:t xml:space="preserve">(Astarloa </w:t>
      </w:r>
      <w:r w:rsidR="003600F9" w:rsidRPr="00A34CD9">
        <w:rPr>
          <w:rFonts w:cstheme="minorHAnsi"/>
          <w:i/>
          <w:noProof/>
          <w:lang w:val="en-GB"/>
        </w:rPr>
        <w:t>et al.</w:t>
      </w:r>
      <w:r w:rsidR="003600F9" w:rsidRPr="00A34CD9">
        <w:rPr>
          <w:rFonts w:cstheme="minorHAnsi"/>
          <w:noProof/>
          <w:lang w:val="en-GB"/>
        </w:rPr>
        <w:t>, 2021)</w:t>
      </w:r>
      <w:r w:rsidR="0011675B" w:rsidRPr="00A34CD9">
        <w:rPr>
          <w:rFonts w:cstheme="minorHAnsi"/>
          <w:lang w:val="en-GB"/>
        </w:rPr>
        <w:fldChar w:fldCharType="end"/>
      </w:r>
      <w:r w:rsidR="003C0BBA" w:rsidRPr="00A34CD9">
        <w:rPr>
          <w:rFonts w:cstheme="minorHAnsi"/>
          <w:lang w:val="en-GB"/>
        </w:rPr>
        <w:t xml:space="preserve"> </w:t>
      </w:r>
      <w:r w:rsidR="00384305" w:rsidRPr="00A34CD9">
        <w:rPr>
          <w:rFonts w:cstheme="minorHAnsi"/>
          <w:lang w:val="en-GB"/>
        </w:rPr>
        <w:t>including Beaufort sea-state, swell height</w:t>
      </w:r>
      <w:r w:rsidR="001F26FB" w:rsidRPr="00A34CD9">
        <w:rPr>
          <w:rFonts w:cstheme="minorHAnsi"/>
          <w:lang w:val="en-GB"/>
        </w:rPr>
        <w:t xml:space="preserve"> categorized</w:t>
      </w:r>
      <w:r w:rsidR="00384305" w:rsidRPr="00A34CD9">
        <w:rPr>
          <w:rFonts w:cstheme="minorHAnsi"/>
          <w:lang w:val="en-GB"/>
        </w:rPr>
        <w:t>, cloud coverage, visibility, overall detection condition</w:t>
      </w:r>
      <w:r w:rsidR="00C55FDF" w:rsidRPr="00A34CD9">
        <w:rPr>
          <w:rFonts w:cstheme="minorHAnsi"/>
          <w:lang w:val="en-GB"/>
        </w:rPr>
        <w:t>s</w:t>
      </w:r>
      <w:r w:rsidR="00384305" w:rsidRPr="00A34CD9">
        <w:rPr>
          <w:rFonts w:cstheme="minorHAnsi"/>
          <w:lang w:val="en-GB"/>
        </w:rPr>
        <w:t xml:space="preserve"> and year. </w:t>
      </w:r>
      <w:r w:rsidR="00170CC5" w:rsidRPr="00A34CD9">
        <w:rPr>
          <w:rFonts w:cstheme="minorHAnsi"/>
          <w:lang w:val="en-GB"/>
        </w:rPr>
        <w:t>D</w:t>
      </w:r>
      <w:r w:rsidR="00375672" w:rsidRPr="00A34CD9">
        <w:rPr>
          <w:rFonts w:cstheme="minorHAnsi"/>
          <w:lang w:val="en-GB"/>
        </w:rPr>
        <w:t>etection functions were fitted using forward stepwise model building based on Akaike’s Information Criterion (AIC) selection, as well as by inspection of Q-Q plots and Cramer-von Mises goodness of fit tests</w:t>
      </w:r>
      <w:r w:rsidR="009436EF" w:rsidRPr="00A34CD9">
        <w:rPr>
          <w:rFonts w:cstheme="minorHAnsi"/>
          <w:lang w:val="en-GB"/>
        </w:rPr>
        <w:t xml:space="preserve"> </w:t>
      </w:r>
      <w:r w:rsidR="009436EF" w:rsidRPr="00A34CD9">
        <w:rPr>
          <w:rFonts w:cstheme="minorHAnsi"/>
          <w:lang w:val="en-GB"/>
        </w:rPr>
        <w:fldChar w:fldCharType="begin" w:fldLock="1"/>
      </w:r>
      <w:r w:rsidR="009436EF" w:rsidRPr="00A34CD9">
        <w:rPr>
          <w:rFonts w:cstheme="minorHAnsi"/>
          <w:lang w:val="en-GB"/>
        </w:rPr>
        <w:instrText>ADDIN CSL_CITATION {"citationItems":[{"id":"ITEM-1","itemData":{"DOI":"10.1111/j.1365-2664.2009.01737.x","ISBN":"1365-2664","ISSN":"00218901","PMID":"20383262","abstract":"1.Distance sampling is a widely used technique for estimating the size or density of biological populations. Many distance sampling designs and most analyses use the software Distance.2.We briefly review distance sampling and its assumptions, outline the history, structure and capabilities of Distance, and provide hints on its use.3.Good survey design is a crucial prerequisite for obtaining reliable results. Distance has a survey design engine, with a built-in geographic information system, that allows properties of different proposed designs to be examined via simulation, and survey plans to be generated.4.A first step in analysis of distance sampling data is modelling the probability of detection. Distance contains three increasingly sophisticated analysis engines for this: conventional distance sampling, which models detection probability as a function of distance from the transect and assumes all objects at zero distance are detected; multiple-covariate distance sampling, which allows covariates in addition to distance; and mark-recapture distance sampling, which relaxes the assumption of certain detection at zero distance.5.All three engines allow estimation of density or abundance, stratified if required, with associated measures of precision calculated either analytically or via the bootstrap.6.Advanced analysis topics covered include the use of multipliers to allow analysis of indirect surveys (such as dung or nest surveys), the density surface modelling analysis engine for spatial and habitat modelling, and information about accessing the analysis engines directly from other software.7.Synthesis and applications. Distance sampling is a key method for producing abundance and density estimates in challenging field conditions. The theory underlying the methods continues to expand to cope with realistic estimation situations. In step with theoretical developments, state-of-the-art software that implements these methods is described that makes the methods accessible to practising ecologists.","author":[{"dropping-particle":"","family":"Thomas","given":"Len","non-dropping-particle":"","parse-names":false,"suffix":""},{"dropping-particle":"","family":"Buckland","given":"Stephen T.","non-dropping-particle":"","parse-names":false,"suffix":""},{"dropping-particle":"","family":"Rexstad","given":"Eric A.","non-dropping-particle":"","parse-names":false,"suffix":""},{"dropping-particle":"","family":"Laake","given":"Jeff L.","non-dropping-particle":"","parse-names":false,"suffix":""},{"dropping-particle":"","family":"Strindberg","given":"Samantha","non-dropping-particle":"","parse-names":false,"suffix":""},{"dropping-particle":"","family":"Hedley","given":"Sharon L.","non-dropping-particle":"","parse-names":false,"suffix":""},{"dropping-particle":"","family":"Bishop","given":"Jon R B","non-dropping-particle":"","parse-names":false,"suffix":""},{"dropping-particle":"","family":"Marques","given":"Tiago A.","non-dropping-particle":"","parse-names":false,"suffix":""},{"dropping-particle":"","family":"Burnham","given":"Kenneth P.","non-dropping-particle":"","parse-names":false,"suffix":""}],"container-title":"Journal of Applied Ecology","id":"ITEM-1","issue":"1","issued":{"date-parts":[["2010"]]},"page":"5-14","title":"Distance software: Design and analysis of distance sampling surveys for estimating population size","type":"article-journal","volume":"47"},"uris":["http://www.mendeley.com/documents/?uuid=0b22d01e-d713-41a9-ac2e-0cff5872d502"]}],"mendeley":{"formattedCitation":"(Thomas &lt;i&gt;et al.&lt;/i&gt;, 2010)","plainTextFormattedCitation":"(Thomas et al., 2010)","previouslyFormattedCitation":"(Thomas &lt;i&gt;et al.&lt;/i&gt;, 2010)"},"properties":{"noteIndex":0},"schema":"https://github.com/citation-style-language/schema/raw/master/csl-citation.json"}</w:instrText>
      </w:r>
      <w:r w:rsidR="009436EF" w:rsidRPr="00A34CD9">
        <w:rPr>
          <w:rFonts w:cstheme="minorHAnsi"/>
          <w:lang w:val="en-GB"/>
        </w:rPr>
        <w:fldChar w:fldCharType="separate"/>
      </w:r>
      <w:r w:rsidR="009436EF" w:rsidRPr="00A34CD9">
        <w:rPr>
          <w:rFonts w:cstheme="minorHAnsi"/>
          <w:noProof/>
          <w:lang w:val="en-GB"/>
        </w:rPr>
        <w:t xml:space="preserve">(Thomas </w:t>
      </w:r>
      <w:r w:rsidR="009436EF" w:rsidRPr="00A34CD9">
        <w:rPr>
          <w:rFonts w:cstheme="minorHAnsi"/>
          <w:i/>
          <w:noProof/>
          <w:lang w:val="en-GB"/>
        </w:rPr>
        <w:t>et al.</w:t>
      </w:r>
      <w:r w:rsidR="009436EF" w:rsidRPr="00A34CD9">
        <w:rPr>
          <w:rFonts w:cstheme="minorHAnsi"/>
          <w:noProof/>
          <w:lang w:val="en-GB"/>
        </w:rPr>
        <w:t>, 2010)</w:t>
      </w:r>
      <w:r w:rsidR="009436EF" w:rsidRPr="00A34CD9">
        <w:rPr>
          <w:rFonts w:cstheme="minorHAnsi"/>
          <w:lang w:val="en-GB"/>
        </w:rPr>
        <w:fldChar w:fldCharType="end"/>
      </w:r>
      <w:r w:rsidR="00375672" w:rsidRPr="00A34CD9">
        <w:rPr>
          <w:rFonts w:cstheme="minorHAnsi"/>
          <w:lang w:val="en-GB"/>
        </w:rPr>
        <w:t xml:space="preserve"> </w:t>
      </w:r>
      <w:r w:rsidR="007214FB" w:rsidRPr="00A34CD9">
        <w:rPr>
          <w:rFonts w:cstheme="minorHAnsi"/>
          <w:lang w:val="en-GB"/>
        </w:rPr>
        <w:t xml:space="preserve">using the R‐package </w:t>
      </w:r>
      <w:proofErr w:type="spellStart"/>
      <w:r w:rsidR="007214FB" w:rsidRPr="00A34CD9">
        <w:rPr>
          <w:rFonts w:cstheme="minorHAnsi"/>
          <w:i/>
          <w:iCs/>
          <w:lang w:val="en-GB"/>
        </w:rPr>
        <w:t>mrds</w:t>
      </w:r>
      <w:proofErr w:type="spellEnd"/>
      <w:r w:rsidR="007214FB" w:rsidRPr="00A34CD9">
        <w:rPr>
          <w:rFonts w:cstheme="minorHAnsi"/>
          <w:lang w:val="en-GB"/>
        </w:rPr>
        <w:t xml:space="preserve"> </w:t>
      </w:r>
      <w:r w:rsidR="007214FB" w:rsidRPr="00A34CD9">
        <w:rPr>
          <w:rFonts w:cstheme="minorHAnsi"/>
          <w:lang w:val="en-GB"/>
        </w:rPr>
        <w:fldChar w:fldCharType="begin" w:fldLock="1"/>
      </w:r>
      <w:r w:rsidR="007214FB" w:rsidRPr="00A34CD9">
        <w:rPr>
          <w:rFonts w:cstheme="minorHAnsi"/>
          <w:lang w:val="en-GB"/>
        </w:rPr>
        <w:instrText>ADDIN CSL_CITATION {"citationItems":[{"id":"ITEM-1","itemData":{"author":[{"dropping-particle":"","family":"Laake, J.","given":"","non-dropping-particle":"","parse-names":false,"suffix":""},{"dropping-particle":"","family":"Borchers","given":"D.","non-dropping-particle":"","parse-names":false,"suffix":""},{"dropping-particle":"","family":"Thomas","given":"L.","non-dropping-particle":"","parse-names":false,"suffix":""},{"dropping-particle":"","family":"Miller","given":"D.","non-dropping-particle":"","parse-names":false,"suffix":""},{"dropping-particle":"","family":"Bishop","given":"J.","non-dropping-particle":"","parse-names":false,"suffix":""}],"id":"ITEM-1","issued":{"date-parts":[["2015"]]},"title":"mrds: Mark-Recapture Distance Sampling. R package version 2.1.14.","type":"article"},"uris":["http://www.mendeley.com/documents/?uuid=43cdf8a7-e5d3-49c8-bd04-2ec3c3acfc8b"]}],"mendeley":{"formattedCitation":"(Laake, J. &lt;i&gt;et al.&lt;/i&gt;, 2015)","manualFormatting":"(Laake et al. 2015)","plainTextFormattedCitation":"(Laake, J. et al., 2015)","previouslyFormattedCitation":"(Laake, J. &lt;i&gt;et al.&lt;/i&gt;, 2015)"},"properties":{"noteIndex":0},"schema":"https://github.com/citation-style-language/schema/raw/master/csl-citation.json"}</w:instrText>
      </w:r>
      <w:r w:rsidR="007214FB" w:rsidRPr="00A34CD9">
        <w:rPr>
          <w:rFonts w:cstheme="minorHAnsi"/>
          <w:lang w:val="en-GB"/>
        </w:rPr>
        <w:fldChar w:fldCharType="separate"/>
      </w:r>
      <w:r w:rsidR="007214FB" w:rsidRPr="00A34CD9">
        <w:rPr>
          <w:rFonts w:cstheme="minorHAnsi"/>
          <w:noProof/>
          <w:lang w:val="en-GB"/>
        </w:rPr>
        <w:t xml:space="preserve">(Laake </w:t>
      </w:r>
      <w:r w:rsidR="007214FB" w:rsidRPr="00A34CD9">
        <w:rPr>
          <w:rFonts w:cstheme="minorHAnsi"/>
          <w:i/>
          <w:iCs/>
          <w:noProof/>
          <w:lang w:val="en-GB"/>
        </w:rPr>
        <w:t>et al.</w:t>
      </w:r>
      <w:r w:rsidR="007214FB" w:rsidRPr="00A34CD9">
        <w:rPr>
          <w:rFonts w:cstheme="minorHAnsi"/>
          <w:noProof/>
          <w:lang w:val="en-GB"/>
        </w:rPr>
        <w:t xml:space="preserve"> 2015)</w:t>
      </w:r>
      <w:r w:rsidR="007214FB" w:rsidRPr="00A34CD9">
        <w:rPr>
          <w:rFonts w:cstheme="minorHAnsi"/>
          <w:lang w:val="en-GB"/>
        </w:rPr>
        <w:fldChar w:fldCharType="end"/>
      </w:r>
      <w:r w:rsidR="00375672" w:rsidRPr="00A34CD9">
        <w:rPr>
          <w:rFonts w:cstheme="minorHAnsi"/>
          <w:lang w:val="en-GB"/>
        </w:rPr>
        <w:t xml:space="preserve">. Final detection function selection was made on parsimony grounds (similar explicative power but less parameters; </w:t>
      </w:r>
      <w:r w:rsidR="003D2AB4" w:rsidRPr="00A34CD9">
        <w:rPr>
          <w:rFonts w:cstheme="minorHAnsi"/>
          <w:lang w:val="en-GB"/>
        </w:rPr>
        <w:fldChar w:fldCharType="begin" w:fldLock="1"/>
      </w:r>
      <w:r w:rsidR="00F01FEA" w:rsidRPr="00A34CD9">
        <w:rPr>
          <w:rFonts w:cstheme="minorHAnsi"/>
          <w:lang w:val="en-GB"/>
        </w:rPr>
        <w:instrText>ADDIN CSL_CITATION {"citationItems":[{"id":"ITEM-1","itemData":{"DOI":"10.1111/j.1937-2817.2010.tb01236.x","ISBN":"0022-541X","ISSN":"0022541X","PMID":"3535","abstract":"Abstract: As use of Akaike's Information Criterion (AIC) for model selection has become increasingly common, so has a mistake involving interpretation of models that are within 2 AIC units (ΔAIC ≤ 2) of the top-supported model. Such models are &lt;2 ΔAIC units because the penalty for one additional parameter is +2 AIC units, but model deviance is not reduced by an amount sufficient to overcome the 2-unit penalty and, hence, the additional parameter provides no net reduction in AIC. Simply put, the uninformative parameter does not explain enough variation to justify its inclusion in the model and it should not be interpreted as having any ecological effect. Models with uninformative parameters are frequently presented as being competitive in the Journal of Wildlife Management, including 72% of all AIC-based papers in 2008, and authors and readers need to be more aware of this problem and take appropriate steps to eliminate misinterpretation. I reviewed 5 potential solutions to this problem: 1) report all models but ignore or dismiss those with uninformative parameters, 2) use model averaging to ameliorate the effect of uninformative parameters, 3) use 95% confidence intervals to identify uninformative parameters, 4) perform all-possible subsets regression and use weight-of-evidence approaches to discriminate useful from uninformative parameters, or 5) adopt a methodological approach that allows models containing uninformative parameters to be culled from reported model sets. The first approach is preferable for small sets of a priori models, whereas the last 2 approaches should be used for large model sets or exploratory modeling.","author":[{"dropping-particle":"","family":"Arnold","given":"Todd W.","non-dropping-particle":"","parse-names":false,"suffix":""}],"container-title":"The Journal of Wildlife Management","id":"ITEM-1","issue":"6","issued":{"date-parts":[["2010","8"]]},"page":"1175-1178","publisher":"Blackwell Publishing Ltd","title":"Uninformative Parameters and Model Selection Using Akaike's Information Criterion","type":"article-journal","volume":"74"},"uris":["http://www.mendeley.com/documents/?uuid=50536024-e0fe-348c-b1cc-062d3cc2be29"]}],"mendeley":{"formattedCitation":"(Arnold, 2010)","manualFormatting":"Arnold 2010)","plainTextFormattedCitation":"(Arnold, 2010)","previouslyFormattedCitation":"(Arnold, 2010)"},"properties":{"noteIndex":0},"schema":"https://github.com/citation-style-language/schema/raw/master/csl-citation.json"}</w:instrText>
      </w:r>
      <w:r w:rsidR="003D2AB4" w:rsidRPr="00A34CD9">
        <w:rPr>
          <w:rFonts w:cstheme="minorHAnsi"/>
          <w:lang w:val="en-GB"/>
        </w:rPr>
        <w:fldChar w:fldCharType="separate"/>
      </w:r>
      <w:r w:rsidR="003D2AB4" w:rsidRPr="00A34CD9">
        <w:rPr>
          <w:rFonts w:cstheme="minorHAnsi"/>
          <w:noProof/>
          <w:lang w:val="en-GB"/>
        </w:rPr>
        <w:t>Arnold 2010)</w:t>
      </w:r>
      <w:r w:rsidR="003D2AB4" w:rsidRPr="00A34CD9">
        <w:rPr>
          <w:rFonts w:cstheme="minorHAnsi"/>
          <w:lang w:val="en-GB"/>
        </w:rPr>
        <w:fldChar w:fldCharType="end"/>
      </w:r>
      <w:r w:rsidR="00182B24" w:rsidRPr="00A34CD9">
        <w:rPr>
          <w:rFonts w:cstheme="minorHAnsi"/>
          <w:lang w:val="en-GB"/>
        </w:rPr>
        <w:t xml:space="preserve">, </w:t>
      </w:r>
      <w:r w:rsidR="00375672" w:rsidRPr="00A34CD9">
        <w:rPr>
          <w:rFonts w:cstheme="minorHAnsi"/>
          <w:lang w:val="en-GB"/>
        </w:rPr>
        <w:t>when the two best detection functions did not show a difference in AIC &gt; 2 (</w:t>
      </w:r>
      <w:r w:rsidR="00375672" w:rsidRPr="00A34CD9">
        <w:rPr>
          <w:rFonts w:cstheme="minorHAnsi"/>
          <w:i/>
          <w:iCs/>
          <w:lang w:val="en-GB"/>
        </w:rPr>
        <w:t>i.e.</w:t>
      </w:r>
      <w:r w:rsidR="00C41ECF" w:rsidRPr="00A34CD9">
        <w:rPr>
          <w:rFonts w:cstheme="minorHAnsi"/>
          <w:i/>
          <w:iCs/>
          <w:lang w:val="en-GB"/>
        </w:rPr>
        <w:t>,</w:t>
      </w:r>
      <w:r w:rsidR="00375672" w:rsidRPr="00A34CD9">
        <w:rPr>
          <w:rFonts w:cstheme="minorHAnsi"/>
          <w:lang w:val="en-GB"/>
        </w:rPr>
        <w:t xml:space="preserve"> ΔAIC &lt; 2). </w:t>
      </w:r>
      <w:r w:rsidR="000C614E" w:rsidRPr="00A34CD9">
        <w:rPr>
          <w:rFonts w:cstheme="minorHAnsi"/>
          <w:lang w:val="en-GB"/>
        </w:rPr>
        <w:t>T</w:t>
      </w:r>
      <w:r w:rsidR="00375672" w:rsidRPr="00A34CD9">
        <w:rPr>
          <w:rFonts w:cstheme="minorHAnsi"/>
          <w:lang w:val="en-GB"/>
        </w:rPr>
        <w:t xml:space="preserve">he </w:t>
      </w:r>
      <w:r w:rsidR="001B462B" w:rsidRPr="00A34CD9">
        <w:rPr>
          <w:rFonts w:cstheme="minorHAnsi"/>
          <w:lang w:val="en-GB"/>
        </w:rPr>
        <w:t>effective strip half‐width (</w:t>
      </w:r>
      <w:r w:rsidR="00375672" w:rsidRPr="00A34CD9">
        <w:rPr>
          <w:rFonts w:cstheme="minorHAnsi"/>
          <w:lang w:val="en-GB"/>
        </w:rPr>
        <w:t>ESW</w:t>
      </w:r>
      <w:r w:rsidR="001B462B" w:rsidRPr="00A34CD9">
        <w:rPr>
          <w:rFonts w:cstheme="minorHAnsi"/>
          <w:lang w:val="en-GB"/>
        </w:rPr>
        <w:t>)</w:t>
      </w:r>
      <w:r w:rsidR="00375672" w:rsidRPr="00A34CD9">
        <w:rPr>
          <w:rFonts w:cstheme="minorHAnsi"/>
          <w:lang w:val="en-GB"/>
        </w:rPr>
        <w:t xml:space="preserve"> was calculated as the perpendicular distance in which the missing detections at smaller distances were equal to the recorded detections at bigger distances.</w:t>
      </w:r>
      <w:r w:rsidR="000A4E99" w:rsidRPr="00A34CD9">
        <w:rPr>
          <w:rFonts w:cstheme="minorHAnsi"/>
          <w:lang w:val="en-GB"/>
        </w:rPr>
        <w:t xml:space="preserve"> In the case of the MCDS detection functions, the ESW was calculated for each level of the covariate.</w:t>
      </w:r>
    </w:p>
    <w:p w14:paraId="2DC86BAE" w14:textId="5952A3C0" w:rsidR="008C2B83" w:rsidRPr="00A34CD9" w:rsidRDefault="008C2B83" w:rsidP="002A528E">
      <w:pPr>
        <w:numPr>
          <w:ilvl w:val="2"/>
          <w:numId w:val="3"/>
        </w:numPr>
        <w:suppressLineNumbers/>
        <w:spacing w:line="480" w:lineRule="auto"/>
        <w:outlineLvl w:val="2"/>
        <w:rPr>
          <w:rFonts w:cstheme="minorHAnsi"/>
          <w:b/>
          <w:bCs/>
          <w:lang w:val="en-GB"/>
        </w:rPr>
      </w:pPr>
      <w:r w:rsidRPr="00A34CD9">
        <w:rPr>
          <w:rFonts w:cstheme="minorHAnsi"/>
          <w:b/>
          <w:bCs/>
          <w:lang w:val="en-GB"/>
        </w:rPr>
        <w:t>Model fitting</w:t>
      </w:r>
    </w:p>
    <w:p w14:paraId="05F9542E" w14:textId="6EFB247B" w:rsidR="00CF251F" w:rsidRPr="00A34CD9" w:rsidRDefault="00A42214" w:rsidP="002A528E">
      <w:pPr>
        <w:suppressLineNumbers/>
        <w:spacing w:line="480" w:lineRule="auto"/>
        <w:jc w:val="both"/>
        <w:rPr>
          <w:rFonts w:cstheme="minorHAnsi"/>
          <w:lang w:val="en-GB"/>
        </w:rPr>
      </w:pPr>
      <w:r w:rsidRPr="00A34CD9">
        <w:rPr>
          <w:rFonts w:cstheme="minorHAnsi"/>
          <w:lang w:val="en-GB"/>
        </w:rPr>
        <w:t>S</w:t>
      </w:r>
      <w:r w:rsidR="00AE126F" w:rsidRPr="00A34CD9">
        <w:rPr>
          <w:rFonts w:cstheme="minorHAnsi"/>
          <w:lang w:val="en-GB"/>
        </w:rPr>
        <w:t xml:space="preserve">urveyed </w:t>
      </w:r>
      <w:r w:rsidR="00AE126F" w:rsidRPr="00A34CD9">
        <w:rPr>
          <w:rFonts w:cstheme="minorHAnsi"/>
          <w:i/>
          <w:iCs/>
          <w:lang w:val="en-GB"/>
        </w:rPr>
        <w:t>legs</w:t>
      </w:r>
      <w:r w:rsidR="00AE126F" w:rsidRPr="00A34CD9">
        <w:rPr>
          <w:rFonts w:cstheme="minorHAnsi"/>
          <w:lang w:val="en-GB"/>
        </w:rPr>
        <w:t xml:space="preserve"> were subdivided into </w:t>
      </w:r>
      <w:r w:rsidR="00062D07" w:rsidRPr="00A34CD9">
        <w:rPr>
          <w:rFonts w:cstheme="minorHAnsi"/>
          <w:lang w:val="en-GB"/>
        </w:rPr>
        <w:t xml:space="preserve">10 km </w:t>
      </w:r>
      <w:r w:rsidR="00AE126F" w:rsidRPr="00A34CD9">
        <w:rPr>
          <w:rFonts w:cstheme="minorHAnsi"/>
          <w:lang w:val="en-GB"/>
        </w:rPr>
        <w:t xml:space="preserve">segments </w:t>
      </w:r>
      <w:r w:rsidR="00062D07" w:rsidRPr="00A34CD9">
        <w:rPr>
          <w:rFonts w:cstheme="minorHAnsi"/>
          <w:lang w:val="en-GB"/>
        </w:rPr>
        <w:t xml:space="preserve">with homogeneous sighting conditions to limit the variability of the </w:t>
      </w:r>
      <w:r w:rsidR="00AE126F" w:rsidRPr="00A34CD9">
        <w:rPr>
          <w:rFonts w:cstheme="minorHAnsi"/>
          <w:lang w:val="en-GB"/>
        </w:rPr>
        <w:t>environmental characteristics within segments</w:t>
      </w:r>
      <w:r w:rsidR="00AA0B74" w:rsidRPr="00A34CD9">
        <w:rPr>
          <w:rFonts w:cstheme="minorHAnsi"/>
          <w:lang w:val="en-GB"/>
        </w:rPr>
        <w:t xml:space="preserve"> </w:t>
      </w:r>
      <w:r w:rsidR="00AA0B74" w:rsidRPr="00A34CD9">
        <w:rPr>
          <w:rFonts w:cstheme="minorHAnsi"/>
          <w:lang w:val="en-GB"/>
        </w:rPr>
        <w:fldChar w:fldCharType="begin" w:fldLock="1"/>
      </w:r>
      <w:r w:rsidR="00AA0B74" w:rsidRPr="00A34CD9">
        <w:rPr>
          <w:rFonts w:cstheme="minorHAnsi"/>
          <w:lang w:val="en-GB"/>
        </w:rPr>
        <w:instrText>ADDIN CSL_CITATION {"citationItems":[{"id":"ITEM-1","itemData":{"DOI":"10.1016/j.ecolind.2020.106504","ISSN":"1470160X","abstract":"Effective conservation and management measures are needed to face the unprecedented changes that marine ecosystems, and particularly marine megafauna, are suffering. These measures require the identification of high-value biodiversity areas (HVBAs) which in turn require the identification of the essential ocean variables (EOVs) that shape the environmental envelope of communities (i.e. space defined by a set of environmental variables). The aim of this study was to delineate and characterise the HVBAs for the north and northwestern Spanish seabird and cetacean community taking advantage of the sightings collected during the annual PELACUS oceanographic survey (2007–2016). We used distance sampling methodology to analyse the species detectability based on environmental conditions. Then, we delimitated the HVBAs and identified the EOVs defining the environmental envelope of the community based on a spatio-temporal modelling approach using Generalized Additive Models. Overall, the main environmental variables driving species abundance were the sea surface temperature (SST), the distance to the shelf-break and the chlorophyll-a concentration (Chl-a). The SST and Chl-a were identified as dynamic EOVs due to their highest relative predictor importance, driving the environmental envelope and shaping areas of higher density. HVBAs were located mainly over the northwestern Spanish waters and decreased towards the inner Bay of Biscay remaining spatially stable over the study period. By identifying community-level HVBAs, we can understand the underlying ecological and oceanographic processes driving the spatio-temporal patterns of biological communities, such as those composed by seabirds and cetaceans. This information would identify conservation targets to assist the allocation of management resources. In addition, the location of HVBAs can help to fulfil the emergent need for sound spatial information to support the implementation of marine spatial planning.","author":[{"dropping-particle":"","family":"García-Barón","given":"Isabel","non-dropping-particle":"","parse-names":false,"suffix":""},{"dropping-particle":"","family":"Santos","given":"M. Begoña","non-dropping-particle":"","parse-names":false,"suffix":""},{"dropping-particle":"","family":"Saavedra","given":"Camilo","non-dropping-particle":"","parse-names":false,"suffix":""},{"dropping-particle":"","family":"Astarloa","given":"Amaia","non-dropping-particle":"","parse-names":false,"suffix":""},{"dropping-particle":"","family":"Valeiras","given":"Julio","non-dropping-particle":"","parse-names":false,"suffix":""},{"dropping-particle":"","family":"García Barcelona","given":"Salvador","non-dropping-particle":"","parse-names":false,"suffix":""},{"dropping-particle":"","family":"Louzao","given":"Maite","non-dropping-particle":"","parse-names":false,"suffix":""}],"container-title":"Ecological Indicators","id":"ITEM-1","issued":{"date-parts":[["2020","10","1"]]},"page":"106504","publisher":"Elsevier B.V.","title":"Essential ocean variables and high value biodiversity areas: Targets for the conservation of marine megafauna","type":"article-journal","volume":"117"},"uris":["http://www.mendeley.com/documents/?uuid=31177802-99cc-30bc-84cd-49c0563f8658"]}],"mendeley":{"formattedCitation":"(García-Barón &lt;i&gt;et al.&lt;/i&gt;, 2020)","plainTextFormattedCitation":"(García-Barón et al., 2020)","previouslyFormattedCitation":"(García-Barón &lt;i&gt;et al.&lt;/i&gt;, 2020)"},"properties":{"noteIndex":0},"schema":"https://github.com/citation-style-language/schema/raw/master/csl-citation.json"}</w:instrText>
      </w:r>
      <w:r w:rsidR="00AA0B74" w:rsidRPr="00A34CD9">
        <w:rPr>
          <w:rFonts w:cstheme="minorHAnsi"/>
          <w:lang w:val="en-GB"/>
        </w:rPr>
        <w:fldChar w:fldCharType="separate"/>
      </w:r>
      <w:r w:rsidR="00AA0B74" w:rsidRPr="00A34CD9">
        <w:rPr>
          <w:rFonts w:cstheme="minorHAnsi"/>
          <w:noProof/>
          <w:lang w:val="en-GB"/>
        </w:rPr>
        <w:t xml:space="preserve">(García-Barón </w:t>
      </w:r>
      <w:r w:rsidR="00AA0B74" w:rsidRPr="00A34CD9">
        <w:rPr>
          <w:rFonts w:cstheme="minorHAnsi"/>
          <w:i/>
          <w:noProof/>
          <w:lang w:val="en-GB"/>
        </w:rPr>
        <w:t>et al.</w:t>
      </w:r>
      <w:r w:rsidR="00AA0B74" w:rsidRPr="00A34CD9">
        <w:rPr>
          <w:rFonts w:cstheme="minorHAnsi"/>
          <w:noProof/>
          <w:lang w:val="en-GB"/>
        </w:rPr>
        <w:t>, 2020)</w:t>
      </w:r>
      <w:r w:rsidR="00AA0B74" w:rsidRPr="00A34CD9">
        <w:rPr>
          <w:rFonts w:cstheme="minorHAnsi"/>
          <w:lang w:val="en-GB"/>
        </w:rPr>
        <w:fldChar w:fldCharType="end"/>
      </w:r>
      <w:r w:rsidR="00062D07" w:rsidRPr="00A34CD9">
        <w:rPr>
          <w:rFonts w:cstheme="minorHAnsi"/>
          <w:lang w:val="en-GB"/>
        </w:rPr>
        <w:t>.</w:t>
      </w:r>
      <w:r w:rsidR="00EE38DB" w:rsidRPr="00A34CD9">
        <w:rPr>
          <w:rFonts w:cstheme="minorHAnsi"/>
          <w:lang w:val="en-GB"/>
        </w:rPr>
        <w:t xml:space="preserve"> To fit the models on the best quality data, segments with a Beaufort Sea‐state </w:t>
      </w:r>
      <w:r w:rsidR="00857BB9" w:rsidRPr="00A34CD9">
        <w:rPr>
          <w:rFonts w:cstheme="minorHAnsi"/>
          <w:lang w:val="en-GB"/>
        </w:rPr>
        <w:t>≤5</w:t>
      </w:r>
      <w:r w:rsidR="00EE38DB" w:rsidRPr="00A34CD9">
        <w:rPr>
          <w:rFonts w:cstheme="minorHAnsi"/>
          <w:lang w:val="en-GB"/>
        </w:rPr>
        <w:t xml:space="preserve">, wave height </w:t>
      </w:r>
      <w:r w:rsidR="00857BB9" w:rsidRPr="00A34CD9">
        <w:rPr>
          <w:rFonts w:cstheme="minorHAnsi"/>
          <w:lang w:val="en-GB"/>
        </w:rPr>
        <w:t>≤2</w:t>
      </w:r>
      <w:r w:rsidR="00EE38DB" w:rsidRPr="00A34CD9">
        <w:rPr>
          <w:rFonts w:cstheme="minorHAnsi"/>
          <w:lang w:val="en-GB"/>
        </w:rPr>
        <w:t xml:space="preserve"> m and overall </w:t>
      </w:r>
      <w:r w:rsidR="00857BB9" w:rsidRPr="00A34CD9">
        <w:rPr>
          <w:rFonts w:cstheme="minorHAnsi"/>
          <w:lang w:val="en-GB"/>
        </w:rPr>
        <w:t>medium to good</w:t>
      </w:r>
      <w:r w:rsidR="00EE38DB" w:rsidRPr="00A34CD9">
        <w:rPr>
          <w:rFonts w:cstheme="minorHAnsi"/>
          <w:lang w:val="en-GB"/>
        </w:rPr>
        <w:t xml:space="preserve"> visibility conditions were </w:t>
      </w:r>
      <w:r w:rsidR="00857BB9" w:rsidRPr="00A34CD9">
        <w:rPr>
          <w:rFonts w:cstheme="minorHAnsi"/>
          <w:lang w:val="en-GB"/>
        </w:rPr>
        <w:t>used</w:t>
      </w:r>
      <w:r w:rsidR="00EE38DB" w:rsidRPr="00A34CD9">
        <w:rPr>
          <w:rFonts w:cstheme="minorHAnsi"/>
          <w:lang w:val="en-GB"/>
        </w:rPr>
        <w:t xml:space="preserve"> for further analysis. For every segment, we summed up the group size of </w:t>
      </w:r>
      <w:r w:rsidR="00895533" w:rsidRPr="00A34CD9">
        <w:rPr>
          <w:rFonts w:cstheme="minorHAnsi"/>
          <w:lang w:val="en-GB"/>
        </w:rPr>
        <w:t>the</w:t>
      </w:r>
      <w:r w:rsidR="00EE38DB" w:rsidRPr="00A34CD9">
        <w:rPr>
          <w:rFonts w:cstheme="minorHAnsi"/>
          <w:lang w:val="en-GB"/>
        </w:rPr>
        <w:t xml:space="preserve"> sightings and the </w:t>
      </w:r>
      <w:r w:rsidR="00CE2880" w:rsidRPr="00A34CD9">
        <w:rPr>
          <w:rFonts w:cstheme="minorHAnsi"/>
          <w:lang w:val="en-GB"/>
        </w:rPr>
        <w:t>centroid</w:t>
      </w:r>
      <w:r w:rsidR="00EE38DB" w:rsidRPr="00A34CD9">
        <w:rPr>
          <w:rFonts w:cstheme="minorHAnsi"/>
          <w:lang w:val="en-GB"/>
        </w:rPr>
        <w:t xml:space="preserve"> of each segment was used to assign the environmental data to the segments.</w:t>
      </w:r>
    </w:p>
    <w:p w14:paraId="56DA0B7F" w14:textId="3A4961D9" w:rsidR="00C21338" w:rsidRPr="00A34CD9" w:rsidRDefault="00C21338" w:rsidP="002A528E">
      <w:pPr>
        <w:suppressLineNumbers/>
        <w:spacing w:line="480" w:lineRule="auto"/>
        <w:jc w:val="both"/>
        <w:rPr>
          <w:rFonts w:cstheme="minorHAnsi"/>
          <w:lang w:val="en-GB"/>
        </w:rPr>
      </w:pPr>
      <w:r w:rsidRPr="00A34CD9">
        <w:rPr>
          <w:rFonts w:cstheme="minorHAnsi"/>
          <w:lang w:val="en-GB"/>
        </w:rPr>
        <w:t>Density surface models</w:t>
      </w:r>
      <w:r w:rsidR="000A4E99" w:rsidRPr="00A34CD9">
        <w:rPr>
          <w:rFonts w:cstheme="minorHAnsi"/>
          <w:lang w:val="en-GB"/>
        </w:rPr>
        <w:t xml:space="preserve"> (DSMs)</w:t>
      </w:r>
      <w:r w:rsidRPr="00A34CD9">
        <w:rPr>
          <w:rFonts w:cstheme="minorHAnsi"/>
          <w:lang w:val="en-GB"/>
        </w:rPr>
        <w:t xml:space="preserve"> were fitted using generalized additive models (GAMs) to identify the most important environmental </w:t>
      </w:r>
      <w:r w:rsidR="00CE2880" w:rsidRPr="00A34CD9">
        <w:rPr>
          <w:rFonts w:cstheme="minorHAnsi"/>
          <w:lang w:val="en-GB"/>
        </w:rPr>
        <w:t>covariates</w:t>
      </w:r>
      <w:r w:rsidRPr="00A34CD9">
        <w:rPr>
          <w:rFonts w:cstheme="minorHAnsi"/>
          <w:lang w:val="en-GB"/>
        </w:rPr>
        <w:t xml:space="preserve"> explaining </w:t>
      </w:r>
      <w:r w:rsidR="00B74FC6" w:rsidRPr="00A34CD9">
        <w:rPr>
          <w:rFonts w:cstheme="minorHAnsi"/>
          <w:lang w:val="en-GB"/>
        </w:rPr>
        <w:t>great shearwater</w:t>
      </w:r>
      <w:r w:rsidRPr="00A34CD9">
        <w:rPr>
          <w:rFonts w:cstheme="minorHAnsi"/>
          <w:lang w:val="en-GB"/>
        </w:rPr>
        <w:t xml:space="preserve"> </w:t>
      </w:r>
      <w:r w:rsidR="00B74FC6" w:rsidRPr="00A34CD9">
        <w:rPr>
          <w:rFonts w:cstheme="minorHAnsi"/>
          <w:lang w:val="en-GB"/>
        </w:rPr>
        <w:t>density</w:t>
      </w:r>
      <w:r w:rsidRPr="00A34CD9">
        <w:rPr>
          <w:rFonts w:cstheme="minorHAnsi"/>
          <w:lang w:val="en-GB"/>
        </w:rPr>
        <w:t xml:space="preserve"> patterns</w:t>
      </w:r>
      <w:r w:rsidR="00D90686" w:rsidRPr="00A34CD9">
        <w:rPr>
          <w:rFonts w:cstheme="minorHAnsi"/>
          <w:lang w:val="en-GB"/>
        </w:rPr>
        <w:t xml:space="preserve"> (</w:t>
      </w:r>
      <w:r w:rsidR="005E340C" w:rsidRPr="00A34CD9">
        <w:rPr>
          <w:rFonts w:cstheme="minorHAnsi"/>
          <w:noProof/>
          <w:color w:val="A6A6A6" w:themeColor="background1" w:themeShade="A6"/>
          <w:lang w:val="en-GB"/>
        </w:rPr>
        <w:t xml:space="preserve">Supplementary </w:t>
      </w:r>
      <w:r w:rsidR="00D90686" w:rsidRPr="00A34CD9">
        <w:rPr>
          <w:rFonts w:cstheme="minorHAnsi"/>
          <w:color w:val="A6A6A6" w:themeColor="background1" w:themeShade="A6"/>
          <w:lang w:val="en-GB"/>
        </w:rPr>
        <w:t>Table A.1</w:t>
      </w:r>
      <w:r w:rsidR="00D90686" w:rsidRPr="00A34CD9">
        <w:rPr>
          <w:rFonts w:cstheme="minorHAnsi"/>
          <w:lang w:val="en-GB"/>
        </w:rPr>
        <w:t>)</w:t>
      </w:r>
      <w:r w:rsidR="00CE2880" w:rsidRPr="00A34CD9">
        <w:rPr>
          <w:rFonts w:cstheme="minorHAnsi"/>
          <w:lang w:val="en-GB"/>
        </w:rPr>
        <w:t>.</w:t>
      </w:r>
      <w:r w:rsidR="00A42214" w:rsidRPr="00A34CD9">
        <w:rPr>
          <w:rFonts w:cstheme="minorHAnsi"/>
          <w:lang w:val="en-GB"/>
        </w:rPr>
        <w:t xml:space="preserve"> </w:t>
      </w:r>
      <w:r w:rsidR="00DF62CD" w:rsidRPr="00A34CD9">
        <w:rPr>
          <w:rFonts w:cstheme="minorHAnsi"/>
          <w:lang w:val="en-GB"/>
        </w:rPr>
        <w:t>After checking for alternative distribution families (</w:t>
      </w:r>
      <w:r w:rsidR="00573604" w:rsidRPr="00A34CD9">
        <w:rPr>
          <w:rFonts w:cstheme="minorHAnsi"/>
          <w:i/>
          <w:iCs/>
          <w:lang w:val="en-GB"/>
        </w:rPr>
        <w:t>e.g.,</w:t>
      </w:r>
      <w:r w:rsidR="00DF62CD" w:rsidRPr="00A34CD9">
        <w:rPr>
          <w:rFonts w:cstheme="minorHAnsi"/>
          <w:lang w:val="en-GB"/>
        </w:rPr>
        <w:t xml:space="preserve"> Tweedie</w:t>
      </w:r>
      <w:r w:rsidR="001755E7" w:rsidRPr="00A34CD9">
        <w:rPr>
          <w:rFonts w:cstheme="minorHAnsi"/>
          <w:lang w:val="en-GB"/>
        </w:rPr>
        <w:t>, zero-inflated Poisson</w:t>
      </w:r>
      <w:r w:rsidR="00DF62CD" w:rsidRPr="00A34CD9">
        <w:rPr>
          <w:rFonts w:cstheme="minorHAnsi"/>
          <w:lang w:val="en-GB"/>
        </w:rPr>
        <w:t xml:space="preserve">), we selected a negative binomial distribution and a log-link function to account for overdispersion. Flexible smoothing splines were constrained to a maximum of two degrees of freedom (k=3) to avoid over-fitting of the data and a </w:t>
      </w:r>
      <w:r w:rsidR="00DF62CD" w:rsidRPr="00A34CD9">
        <w:rPr>
          <w:rFonts w:cstheme="minorHAnsi"/>
          <w:lang w:val="en-GB"/>
        </w:rPr>
        <w:lastRenderedPageBreak/>
        <w:t>maximum number of four covariates was used</w:t>
      </w:r>
      <w:r w:rsidR="007F0B84" w:rsidRPr="00A34CD9">
        <w:rPr>
          <w:rFonts w:cstheme="minorHAnsi"/>
          <w:lang w:val="en-GB"/>
        </w:rPr>
        <w:t xml:space="preserve"> to avoid </w:t>
      </w:r>
      <w:r w:rsidR="00A14948" w:rsidRPr="00A34CD9">
        <w:rPr>
          <w:rFonts w:cstheme="minorHAnsi"/>
          <w:lang w:val="en-GB"/>
        </w:rPr>
        <w:t>over complexifying</w:t>
      </w:r>
      <w:r w:rsidR="00EA0C68" w:rsidRPr="00A34CD9">
        <w:rPr>
          <w:rFonts w:cstheme="minorHAnsi"/>
          <w:lang w:val="en-GB"/>
        </w:rPr>
        <w:t xml:space="preserve">  the models</w:t>
      </w:r>
      <w:r w:rsidR="004E2735" w:rsidRPr="00A34CD9">
        <w:rPr>
          <w:rFonts w:cstheme="minorHAnsi"/>
          <w:lang w:val="en-GB"/>
        </w:rPr>
        <w:t xml:space="preserve"> </w:t>
      </w:r>
      <w:r w:rsidR="004E2735" w:rsidRPr="00A34CD9">
        <w:rPr>
          <w:rFonts w:cstheme="minorHAnsi"/>
          <w:lang w:val="en-GB"/>
        </w:rPr>
        <w:fldChar w:fldCharType="begin" w:fldLock="1"/>
      </w:r>
      <w:r w:rsidR="00A669A1" w:rsidRPr="00A34CD9">
        <w:rPr>
          <w:rFonts w:cstheme="minorHAnsi"/>
          <w:lang w:val="en-GB"/>
        </w:rPr>
        <w:instrText>ADDIN CSL_CITATION {"citationItems":[{"id":"ITEM-1","itemData":{"DOI":"10.1016/j.dsr2.2017.03.016","ISBN":"0967-0645","abstract":"According to the European Union Habitats and Birds Directives, EU Member States must extend the Natura 2000 network to marine ecosystems, through the designation of Marine Protected Areas (MPAs). However, the initial status of cetacean and seabird communities across European waters is often poorly understood. It is assumed that an MPA is justified where at least 1% of the \"national population\" of a species is present during at least part of its biological cycle. The aim of the present work was to use model-based cetacean and seabird distribution to assess the networks of existing Natura 2000 sites and offshore proposed areas of biological interest. The habitat models used here were Generalised Additive Models computed from aerial surveys observational data collected during the winter 2011-2012 and the summer 2012 across the English Channel, Bay of Biscay and north-western Mediterranean Sea. Based on these models, a ratio between species relative abundance predicted within each MPA and the total relative abundance predicted over the French Atlantic or Mediterranean marine regions was computed and compared to the 1% threshold. This assessment was conducted for winter and summer independently, providing information for assessing the relevance of individual MPAs and MPA networks at a seasonal scale. Our results showed that the existing network designed for coastal seabird species was relevant in both marine regions. In contrast, a clear shortfall was identified for offshore seabird species in the Atlantic region and for cetaceans in both regions. Moreover, the size of MPAs appeared to be a crucial feature, with larger MPAs being relevant for more species. Finally, we showed that the proposed large offshore areas of interest would constitute a highly relevant network for all offshore species, with e.g. up to 61% of the Globicephalinae population in the Atlantic French waters being present within these areas.","author":[{"dropping-particle":"","family":"Lambert","given":"C","non-dropping-particle":"","parse-names":false,"suffix":""},{"dropping-particle":"","family":"Virgili","given":"A","non-dropping-particle":"","parse-names":false,"suffix":""},{"dropping-particle":"","family":"Pettex","given":"E","non-dropping-particle":"","parse-names":false,"suffix":""},{"dropping-particle":"","family":"Delavenne","given":"J","non-dropping-particle":"","parse-names":false,"suffix":""},{"dropping-particle":"","family":"Toison","given":"V","non-dropping-particle":"","parse-names":false,"suffix":""},{"dropping-particle":"","family":"Blanck","given":"A","non-dropping-particle":"","parse-names":false,"suffix":""},{"dropping-particle":"","family":"Ridoux","given":"V","non-dropping-particle":"","parse-names":false,"suffix":""}],"container-title":"Deep-Sea Research Part Ii-Topical Studies in Oceanography","id":"ITEM-1","issued":{"date-parts":[["2017"]]},"page":"262-274","title":"Habitat modelling predictions highlight seasonal relevance of Marine Protected Areas for marine megafauna","type":"article-journal","volume":"141"},"uris":["http://www.mendeley.com/documents/?uuid=6364082d-ed71-48b2-881b-d3e6941a5214"]}],"mendeley":{"formattedCitation":"(Lambert &lt;i&gt;et al.&lt;/i&gt;, 2017)","plainTextFormattedCitation":"(Lambert et al., 2017)","previouslyFormattedCitation":"(Lambert &lt;i&gt;et al.&lt;/i&gt;, 2017)"},"properties":{"noteIndex":0},"schema":"https://github.com/citation-style-language/schema/raw/master/csl-citation.json"}</w:instrText>
      </w:r>
      <w:r w:rsidR="004E2735" w:rsidRPr="00A34CD9">
        <w:rPr>
          <w:rFonts w:cstheme="minorHAnsi"/>
          <w:lang w:val="en-GB"/>
        </w:rPr>
        <w:fldChar w:fldCharType="separate"/>
      </w:r>
      <w:r w:rsidR="004E2735" w:rsidRPr="00A34CD9">
        <w:rPr>
          <w:rFonts w:cstheme="minorHAnsi"/>
          <w:noProof/>
          <w:lang w:val="en-GB"/>
        </w:rPr>
        <w:t xml:space="preserve">(Lambert </w:t>
      </w:r>
      <w:r w:rsidR="004E2735" w:rsidRPr="00A34CD9">
        <w:rPr>
          <w:rFonts w:cstheme="minorHAnsi"/>
          <w:i/>
          <w:noProof/>
          <w:lang w:val="en-GB"/>
        </w:rPr>
        <w:t>et al.</w:t>
      </w:r>
      <w:r w:rsidR="004E2735" w:rsidRPr="00A34CD9">
        <w:rPr>
          <w:rFonts w:cstheme="minorHAnsi"/>
          <w:noProof/>
          <w:lang w:val="en-GB"/>
        </w:rPr>
        <w:t>, 2017)</w:t>
      </w:r>
      <w:r w:rsidR="004E2735" w:rsidRPr="00A34CD9">
        <w:rPr>
          <w:rFonts w:cstheme="minorHAnsi"/>
          <w:lang w:val="en-GB"/>
        </w:rPr>
        <w:fldChar w:fldCharType="end"/>
      </w:r>
      <w:r w:rsidR="008076F1" w:rsidRPr="00A34CD9">
        <w:rPr>
          <w:rFonts w:cstheme="minorHAnsi"/>
          <w:lang w:val="en-GB"/>
        </w:rPr>
        <w:t xml:space="preserve">. The effective sampled area of each segment calculated as the length of the segment multiply by twice the ESW was included as an offset. </w:t>
      </w:r>
      <w:r w:rsidR="00A42214" w:rsidRPr="00A34CD9">
        <w:rPr>
          <w:rFonts w:cstheme="minorHAnsi"/>
          <w:lang w:val="en-GB"/>
        </w:rPr>
        <w:t>Prior to modelling</w:t>
      </w:r>
      <w:r w:rsidR="008076F1" w:rsidRPr="00A34CD9">
        <w:rPr>
          <w:rFonts w:cstheme="minorHAnsi"/>
          <w:lang w:val="en-GB"/>
        </w:rPr>
        <w:t xml:space="preserve"> and</w:t>
      </w:r>
      <w:r w:rsidR="00A42214" w:rsidRPr="00A34CD9">
        <w:rPr>
          <w:rFonts w:cstheme="minorHAnsi"/>
          <w:lang w:val="en-GB"/>
        </w:rPr>
        <w:t xml:space="preserve"> to avoid co‐linearity</w:t>
      </w:r>
      <w:r w:rsidR="008076F1" w:rsidRPr="00A34CD9">
        <w:rPr>
          <w:rFonts w:cstheme="minorHAnsi"/>
          <w:lang w:val="en-GB"/>
        </w:rPr>
        <w:t>,</w:t>
      </w:r>
      <w:r w:rsidR="00A42214" w:rsidRPr="00A34CD9">
        <w:rPr>
          <w:rFonts w:cstheme="minorHAnsi"/>
          <w:lang w:val="en-GB"/>
        </w:rPr>
        <w:t xml:space="preserve"> we calculated the pairwise Spearman</w:t>
      </w:r>
      <w:r w:rsidR="00025655" w:rsidRPr="00A34CD9">
        <w:rPr>
          <w:rFonts w:cstheme="minorHAnsi"/>
          <w:lang w:val="en-GB"/>
        </w:rPr>
        <w:t>-rank</w:t>
      </w:r>
      <w:r w:rsidR="00A42214" w:rsidRPr="00A34CD9">
        <w:rPr>
          <w:rFonts w:cstheme="minorHAnsi"/>
          <w:lang w:val="en-GB"/>
        </w:rPr>
        <w:t xml:space="preserve"> correlation coefficients (r) and did not include </w:t>
      </w:r>
      <w:r w:rsidR="00025655" w:rsidRPr="00A34CD9">
        <w:rPr>
          <w:rFonts w:cstheme="minorHAnsi"/>
          <w:lang w:val="en-GB"/>
        </w:rPr>
        <w:t xml:space="preserve">correlated </w:t>
      </w:r>
      <w:r w:rsidR="00A42214" w:rsidRPr="00A34CD9">
        <w:rPr>
          <w:rFonts w:cstheme="minorHAnsi"/>
          <w:lang w:val="en-GB"/>
        </w:rPr>
        <w:t xml:space="preserve">variables </w:t>
      </w:r>
      <w:r w:rsidR="00025655" w:rsidRPr="00A34CD9">
        <w:rPr>
          <w:rFonts w:cstheme="minorHAnsi"/>
          <w:lang w:val="en-GB"/>
        </w:rPr>
        <w:t>(e.g.</w:t>
      </w:r>
      <w:r w:rsidR="00796DCE" w:rsidRPr="00A34CD9">
        <w:rPr>
          <w:rFonts w:cstheme="minorHAnsi"/>
          <w:lang w:val="en-GB"/>
        </w:rPr>
        <w:t>,</w:t>
      </w:r>
      <w:r w:rsidR="00025655" w:rsidRPr="00A34CD9">
        <w:rPr>
          <w:rFonts w:cstheme="minorHAnsi"/>
          <w:lang w:val="en-GB"/>
        </w:rPr>
        <w:t xml:space="preserve"> </w:t>
      </w:r>
      <w:r w:rsidR="00A42214" w:rsidRPr="00A34CD9">
        <w:rPr>
          <w:rFonts w:cstheme="minorHAnsi"/>
          <w:lang w:val="en-GB"/>
        </w:rPr>
        <w:t>with</w:t>
      </w:r>
      <w:r w:rsidR="00D226A7" w:rsidRPr="00A34CD9">
        <w:rPr>
          <w:rFonts w:cstheme="minorHAnsi"/>
          <w:lang w:val="en-GB"/>
        </w:rPr>
        <w:t xml:space="preserve"> </w:t>
      </w:r>
      <w:r w:rsidR="00A42214" w:rsidRPr="00A34CD9">
        <w:rPr>
          <w:rFonts w:cstheme="minorHAnsi"/>
          <w:lang w:val="en-GB"/>
        </w:rPr>
        <w:t>r≥|0.</w:t>
      </w:r>
      <w:r w:rsidR="007F0B84" w:rsidRPr="00A34CD9">
        <w:rPr>
          <w:rFonts w:cstheme="minorHAnsi"/>
          <w:lang w:val="en-GB"/>
        </w:rPr>
        <w:t>5</w:t>
      </w:r>
      <w:r w:rsidR="00A42214" w:rsidRPr="00A34CD9">
        <w:rPr>
          <w:rFonts w:cstheme="minorHAnsi"/>
          <w:lang w:val="en-GB"/>
        </w:rPr>
        <w:t>|</w:t>
      </w:r>
      <w:r w:rsidR="00D226A7" w:rsidRPr="00A34CD9">
        <w:rPr>
          <w:rFonts w:cstheme="minorHAnsi"/>
          <w:lang w:val="en-GB"/>
        </w:rPr>
        <w:fldChar w:fldCharType="begin" w:fldLock="1"/>
      </w:r>
      <w:r w:rsidR="005E336E" w:rsidRPr="00A34CD9">
        <w:rPr>
          <w:rFonts w:cstheme="minorHAnsi"/>
          <w:lang w:val="en-GB"/>
        </w:rPr>
        <w:instrText>ADDIN CSL_CITATION {"citationItems":[{"id":"ITEM-1","itemData":{"author":[{"dropping-particle":"","family":"Dormann","given":"CF","non-dropping-particle":"","parse-names":false,"suffix":""},{"dropping-particle":"","family":"Elith","given":"J","non-dropping-particle":"","parse-names":false,"suffix":""},{"dropping-particle":"","family":"Bacher","given":"S","non-dropping-particle":"","parse-names":false,"suffix":""}],"container-title":"Ecography","id":"ITEM-1","issue":"1","issued":{"date-parts":[["2013"]]},"page":"27-46","title":"Collinearity: a review of methods to deal with it and a simulation study evaluating their performance","type":"article-journal","volume":"36"},"uris":["http://www.mendeley.com/documents/?uuid=2a911041-f29b-49ed-8d4b-58507e17eb3b"]}],"mendeley":{"formattedCitation":"(Dormann &lt;i&gt;et al.&lt;/i&gt;, 2013)","manualFormatting":"; Dormann et al., 2013)","plainTextFormattedCitation":"(Dormann et al., 2013)","previouslyFormattedCitation":"(Dormann &lt;i&gt;et al.&lt;/i&gt;, 2013)"},"properties":{"noteIndex":0},"schema":"https://github.com/citation-style-language/schema/raw/master/csl-citation.json"}</w:instrText>
      </w:r>
      <w:r w:rsidR="00D226A7" w:rsidRPr="00A34CD9">
        <w:rPr>
          <w:rFonts w:cstheme="minorHAnsi"/>
          <w:lang w:val="en-GB"/>
        </w:rPr>
        <w:fldChar w:fldCharType="separate"/>
      </w:r>
      <w:r w:rsidR="005C2286" w:rsidRPr="00A34CD9">
        <w:rPr>
          <w:rFonts w:cstheme="minorHAnsi"/>
          <w:noProof/>
          <w:lang w:val="en-GB"/>
        </w:rPr>
        <w:t xml:space="preserve">; </w:t>
      </w:r>
      <w:r w:rsidR="009D4A0B" w:rsidRPr="00A34CD9">
        <w:rPr>
          <w:rFonts w:cstheme="minorHAnsi"/>
          <w:noProof/>
          <w:lang w:val="en-GB"/>
        </w:rPr>
        <w:t xml:space="preserve">Dormann </w:t>
      </w:r>
      <w:r w:rsidR="009D4A0B" w:rsidRPr="00A34CD9">
        <w:rPr>
          <w:rFonts w:cstheme="minorHAnsi"/>
          <w:i/>
          <w:noProof/>
          <w:lang w:val="en-GB"/>
        </w:rPr>
        <w:t>et al.</w:t>
      </w:r>
      <w:r w:rsidR="009D4A0B" w:rsidRPr="00A34CD9">
        <w:rPr>
          <w:rFonts w:cstheme="minorHAnsi"/>
          <w:noProof/>
          <w:lang w:val="en-GB"/>
        </w:rPr>
        <w:t>, 2013)</w:t>
      </w:r>
      <w:r w:rsidR="00D226A7" w:rsidRPr="00A34CD9">
        <w:rPr>
          <w:rFonts w:cstheme="minorHAnsi"/>
          <w:lang w:val="en-GB"/>
        </w:rPr>
        <w:fldChar w:fldCharType="end"/>
      </w:r>
      <w:r w:rsidR="00D226A7" w:rsidRPr="00A34CD9">
        <w:rPr>
          <w:rFonts w:cstheme="minorHAnsi"/>
          <w:lang w:val="en-GB"/>
        </w:rPr>
        <w:t>.</w:t>
      </w:r>
      <w:r w:rsidR="00DF62CD" w:rsidRPr="00A34CD9">
        <w:rPr>
          <w:rFonts w:cstheme="minorHAnsi"/>
          <w:lang w:val="en-GB"/>
        </w:rPr>
        <w:t xml:space="preserve"> Th</w:t>
      </w:r>
      <w:r w:rsidR="000172DD" w:rsidRPr="00A34CD9">
        <w:rPr>
          <w:rFonts w:cstheme="minorHAnsi"/>
          <w:lang w:val="en-GB"/>
        </w:rPr>
        <w:t>us</w:t>
      </w:r>
      <w:r w:rsidR="00DF62CD" w:rsidRPr="00A34CD9">
        <w:rPr>
          <w:rFonts w:cstheme="minorHAnsi"/>
          <w:lang w:val="en-GB"/>
        </w:rPr>
        <w:t xml:space="preserve">, we </w:t>
      </w:r>
      <w:bookmarkStart w:id="24" w:name="_Hlk98934175"/>
      <w:r w:rsidR="00DF62CD" w:rsidRPr="00A34CD9">
        <w:rPr>
          <w:rFonts w:cstheme="minorHAnsi"/>
          <w:lang w:val="en-GB"/>
        </w:rPr>
        <w:t>selected the non‐correlated predictors</w:t>
      </w:r>
      <w:r w:rsidR="00953847" w:rsidRPr="00A34CD9">
        <w:rPr>
          <w:rFonts w:cstheme="minorHAnsi"/>
          <w:lang w:val="en-GB"/>
        </w:rPr>
        <w:t xml:space="preserve"> </w:t>
      </w:r>
      <w:bookmarkEnd w:id="24"/>
      <w:r w:rsidR="00953847" w:rsidRPr="00A34CD9">
        <w:rPr>
          <w:rFonts w:cstheme="minorHAnsi"/>
          <w:lang w:val="en-GB"/>
        </w:rPr>
        <w:t>by selecting the variable yielding</w:t>
      </w:r>
      <w:r w:rsidR="006C42C5" w:rsidRPr="00A34CD9">
        <w:rPr>
          <w:rFonts w:cstheme="minorHAnsi"/>
          <w:lang w:val="en-GB"/>
        </w:rPr>
        <w:t xml:space="preserve"> the </w:t>
      </w:r>
      <w:r w:rsidR="00DF62CD" w:rsidRPr="00A34CD9">
        <w:rPr>
          <w:rFonts w:cstheme="minorHAnsi"/>
          <w:lang w:val="en-GB"/>
        </w:rPr>
        <w:t xml:space="preserve">lowest </w:t>
      </w:r>
      <w:bookmarkStart w:id="25" w:name="_Hlk98934210"/>
      <w:r w:rsidR="008B4153" w:rsidRPr="00A34CD9">
        <w:rPr>
          <w:rFonts w:cstheme="minorHAnsi"/>
          <w:lang w:val="en-GB"/>
        </w:rPr>
        <w:t xml:space="preserve">AIC value corrected for small sample sizes </w:t>
      </w:r>
      <w:bookmarkEnd w:id="25"/>
      <w:r w:rsidR="008B4153" w:rsidRPr="00A34CD9">
        <w:rPr>
          <w:rFonts w:cstheme="minorHAnsi"/>
          <w:lang w:val="en-GB"/>
        </w:rPr>
        <w:t>(</w:t>
      </w:r>
      <w:proofErr w:type="spellStart"/>
      <w:r w:rsidR="008B4153" w:rsidRPr="00A34CD9">
        <w:rPr>
          <w:rFonts w:cstheme="minorHAnsi"/>
          <w:lang w:val="en-GB"/>
        </w:rPr>
        <w:t>AICc</w:t>
      </w:r>
      <w:proofErr w:type="spellEnd"/>
      <w:r w:rsidR="008B4153" w:rsidRPr="00A34CD9">
        <w:rPr>
          <w:rFonts w:cstheme="minorHAnsi"/>
          <w:lang w:val="en-GB"/>
        </w:rPr>
        <w:t>)</w:t>
      </w:r>
      <w:r w:rsidR="00DF62CD" w:rsidRPr="00A34CD9">
        <w:rPr>
          <w:rFonts w:cstheme="minorHAnsi"/>
          <w:lang w:val="en-GB"/>
        </w:rPr>
        <w:t xml:space="preserve"> from univariate models of the two predictor</w:t>
      </w:r>
      <w:r w:rsidR="00FF397C" w:rsidRPr="00A34CD9">
        <w:rPr>
          <w:rFonts w:cstheme="minorHAnsi"/>
          <w:lang w:val="en-GB"/>
        </w:rPr>
        <w:t>s.</w:t>
      </w:r>
      <w:r w:rsidR="000172DD" w:rsidRPr="00A34CD9">
        <w:rPr>
          <w:rFonts w:cstheme="minorHAnsi"/>
          <w:lang w:val="en-GB"/>
        </w:rPr>
        <w:t xml:space="preserve"> </w:t>
      </w:r>
    </w:p>
    <w:p w14:paraId="0DEF1102" w14:textId="5821975D" w:rsidR="00F57307" w:rsidRPr="00A34CD9" w:rsidRDefault="00F55182" w:rsidP="002A528E">
      <w:pPr>
        <w:suppressLineNumbers/>
        <w:spacing w:line="480" w:lineRule="auto"/>
        <w:jc w:val="both"/>
        <w:rPr>
          <w:rFonts w:cstheme="minorHAnsi"/>
          <w:lang w:val="en-GB"/>
        </w:rPr>
      </w:pPr>
      <w:r w:rsidRPr="00A34CD9">
        <w:rPr>
          <w:rFonts w:cstheme="minorHAnsi"/>
          <w:lang w:val="en-GB"/>
        </w:rPr>
        <w:t xml:space="preserve">GAMs were implemented following the Information-Theoretic approach using the </w:t>
      </w:r>
      <w:r w:rsidRPr="00A34CD9">
        <w:rPr>
          <w:rFonts w:cstheme="minorHAnsi"/>
          <w:i/>
          <w:iCs/>
          <w:lang w:val="en-GB"/>
        </w:rPr>
        <w:t>dredge</w:t>
      </w:r>
      <w:r w:rsidRPr="00A34CD9">
        <w:rPr>
          <w:rFonts w:cstheme="minorHAnsi"/>
          <w:lang w:val="en-GB"/>
        </w:rPr>
        <w:t xml:space="preserve"> </w:t>
      </w:r>
      <w:r w:rsidR="00E90C03" w:rsidRPr="00A34CD9">
        <w:rPr>
          <w:rFonts w:cstheme="minorHAnsi"/>
          <w:lang w:val="en-GB"/>
        </w:rPr>
        <w:t>function</w:t>
      </w:r>
      <w:r w:rsidRPr="00A34CD9">
        <w:rPr>
          <w:rFonts w:cstheme="minorHAnsi"/>
          <w:lang w:val="en-GB"/>
        </w:rPr>
        <w:t xml:space="preserve"> of the R‐package </w:t>
      </w:r>
      <w:proofErr w:type="spellStart"/>
      <w:r w:rsidRPr="00A34CD9">
        <w:rPr>
          <w:rFonts w:cstheme="minorHAnsi"/>
          <w:i/>
          <w:iCs/>
          <w:lang w:val="en-GB"/>
        </w:rPr>
        <w:t>MuMIn</w:t>
      </w:r>
      <w:proofErr w:type="spellEnd"/>
      <w:r w:rsidRPr="00A34CD9">
        <w:rPr>
          <w:rFonts w:cstheme="minorHAnsi"/>
          <w:lang w:val="en-GB"/>
        </w:rPr>
        <w:t xml:space="preserve"> </w:t>
      </w:r>
      <w:r w:rsidRPr="00A34CD9">
        <w:rPr>
          <w:rFonts w:cstheme="minorHAnsi"/>
          <w:lang w:val="en-GB"/>
        </w:rPr>
        <w:fldChar w:fldCharType="begin" w:fldLock="1"/>
      </w:r>
      <w:r w:rsidR="00356ECE" w:rsidRPr="00A34CD9">
        <w:rPr>
          <w:rFonts w:cstheme="minorHAnsi"/>
          <w:lang w:val="en-GB"/>
        </w:rPr>
        <w:instrText>ADDIN CSL_CITATION {"citationItems":[{"id":"ITEM-1","itemData":{"author":[{"dropping-particle":"","family":"Barton","given":"K.","non-dropping-particle":"","parse-names":false,"suffix":""}],"id":"ITEM-1","issued":{"date-parts":[["2016"]]},"title":"&lt;i&gt;MuMIn&lt;/i&gt;: Multi-Model Inference. R package version 1.15.6","type":"article"},"uris":["http://www.mendeley.com/documents/?uuid=422cdca5-9bec-3e79-9159-d568dbc32892"]}],"mendeley":{"formattedCitation":"(Barton, 2016)","plainTextFormattedCitation":"(Barton, 2016)","previouslyFormattedCitation":"(Barton, 2016)"},"properties":{"noteIndex":0},"schema":"https://github.com/citation-style-language/schema/raw/master/csl-citation.json"}</w:instrText>
      </w:r>
      <w:r w:rsidRPr="00A34CD9">
        <w:rPr>
          <w:rFonts w:cstheme="minorHAnsi"/>
          <w:lang w:val="en-GB"/>
        </w:rPr>
        <w:fldChar w:fldCharType="separate"/>
      </w:r>
      <w:r w:rsidR="00AF3ECC" w:rsidRPr="00A34CD9">
        <w:rPr>
          <w:rFonts w:cstheme="minorHAnsi"/>
          <w:noProof/>
          <w:lang w:val="en-GB"/>
        </w:rPr>
        <w:t>(Barton, 2016)</w:t>
      </w:r>
      <w:r w:rsidRPr="00A34CD9">
        <w:rPr>
          <w:rFonts w:cstheme="minorHAnsi"/>
          <w:lang w:val="en-GB"/>
        </w:rPr>
        <w:fldChar w:fldCharType="end"/>
      </w:r>
      <w:r w:rsidRPr="00A34CD9">
        <w:rPr>
          <w:rFonts w:cstheme="minorHAnsi"/>
          <w:lang w:val="en-GB"/>
        </w:rPr>
        <w:t xml:space="preserve">. </w:t>
      </w:r>
      <w:r w:rsidR="00334795" w:rsidRPr="00A34CD9">
        <w:rPr>
          <w:rFonts w:cstheme="minorHAnsi"/>
          <w:lang w:val="en-GB"/>
        </w:rPr>
        <w:t>W</w:t>
      </w:r>
      <w:r w:rsidR="00CA3CDA" w:rsidRPr="00A34CD9">
        <w:rPr>
          <w:rFonts w:cstheme="minorHAnsi"/>
          <w:lang w:val="en-GB"/>
        </w:rPr>
        <w:t>e</w:t>
      </w:r>
      <w:r w:rsidRPr="00A34CD9">
        <w:rPr>
          <w:rFonts w:cstheme="minorHAnsi"/>
          <w:lang w:val="en-GB"/>
        </w:rPr>
        <w:t xml:space="preserve"> evaluate</w:t>
      </w:r>
      <w:r w:rsidR="00FA4345" w:rsidRPr="00A34CD9">
        <w:rPr>
          <w:rFonts w:cstheme="minorHAnsi"/>
          <w:lang w:val="en-GB"/>
        </w:rPr>
        <w:t>d</w:t>
      </w:r>
      <w:r w:rsidRPr="00A34CD9">
        <w:rPr>
          <w:rFonts w:cstheme="minorHAnsi"/>
          <w:lang w:val="en-GB"/>
        </w:rPr>
        <w:t xml:space="preserve"> all the possible models by assessing their relative support </w:t>
      </w:r>
      <w:r w:rsidR="00EE4060" w:rsidRPr="00A34CD9">
        <w:rPr>
          <w:rFonts w:cstheme="minorHAnsi"/>
          <w:lang w:val="en-GB"/>
        </w:rPr>
        <w:t xml:space="preserve">compared with the others </w:t>
      </w:r>
      <w:r w:rsidRPr="00A34CD9">
        <w:rPr>
          <w:rFonts w:cstheme="minorHAnsi"/>
          <w:lang w:val="en-GB"/>
        </w:rPr>
        <w:t xml:space="preserve">based on the </w:t>
      </w:r>
      <w:proofErr w:type="spellStart"/>
      <w:r w:rsidRPr="00A34CD9">
        <w:rPr>
          <w:rFonts w:cstheme="minorHAnsi"/>
          <w:lang w:val="en-GB"/>
        </w:rPr>
        <w:t>AICc</w:t>
      </w:r>
      <w:proofErr w:type="spellEnd"/>
      <w:r w:rsidRPr="00A34CD9">
        <w:rPr>
          <w:rFonts w:cstheme="minorHAnsi"/>
          <w:lang w:val="en-GB"/>
        </w:rPr>
        <w:t xml:space="preserve"> and </w:t>
      </w:r>
      <w:r w:rsidR="00334795" w:rsidRPr="00A34CD9">
        <w:rPr>
          <w:rFonts w:cstheme="minorHAnsi"/>
          <w:lang w:val="en-GB"/>
        </w:rPr>
        <w:t xml:space="preserve">the </w:t>
      </w:r>
      <w:r w:rsidRPr="00A34CD9">
        <w:rPr>
          <w:rFonts w:cstheme="minorHAnsi"/>
          <w:lang w:val="en-GB"/>
        </w:rPr>
        <w:t>Akaike weight (</w:t>
      </w:r>
      <w:proofErr w:type="spellStart"/>
      <w:r w:rsidRPr="00A34CD9">
        <w:rPr>
          <w:rFonts w:cstheme="minorHAnsi"/>
          <w:lang w:val="en-GB"/>
        </w:rPr>
        <w:t>ω</w:t>
      </w:r>
      <w:r w:rsidRPr="00A34CD9">
        <w:rPr>
          <w:rFonts w:cstheme="minorHAnsi"/>
          <w:vertAlign w:val="subscript"/>
          <w:lang w:val="en-GB"/>
        </w:rPr>
        <w:t>i</w:t>
      </w:r>
      <w:proofErr w:type="spellEnd"/>
      <w:r w:rsidR="000F597F" w:rsidRPr="00A34CD9">
        <w:rPr>
          <w:rFonts w:cstheme="minorHAnsi"/>
          <w:lang w:val="en-GB"/>
        </w:rPr>
        <w:t xml:space="preserve">; normalized relative likelihoods that model </w:t>
      </w:r>
      <w:proofErr w:type="spellStart"/>
      <w:r w:rsidR="000F597F" w:rsidRPr="00A34CD9">
        <w:rPr>
          <w:rFonts w:cstheme="minorHAnsi"/>
          <w:i/>
          <w:iCs/>
          <w:lang w:val="en-GB"/>
        </w:rPr>
        <w:t>i</w:t>
      </w:r>
      <w:proofErr w:type="spellEnd"/>
      <w:r w:rsidR="000F597F" w:rsidRPr="00A34CD9">
        <w:rPr>
          <w:rFonts w:cstheme="minorHAnsi"/>
          <w:lang w:val="en-GB"/>
        </w:rPr>
        <w:t xml:space="preserve"> is the best model</w:t>
      </w:r>
      <w:r w:rsidRPr="00A34CD9">
        <w:rPr>
          <w:rFonts w:cstheme="minorHAnsi"/>
          <w:lang w:val="en-GB"/>
        </w:rPr>
        <w:t xml:space="preserve">) </w:t>
      </w:r>
      <w:r w:rsidRPr="00A34CD9">
        <w:rPr>
          <w:rFonts w:cstheme="minorHAnsi"/>
          <w:lang w:val="en-GB"/>
        </w:rPr>
        <w:fldChar w:fldCharType="begin" w:fldLock="1"/>
      </w:r>
      <w:r w:rsidR="005E336E" w:rsidRPr="00A34CD9">
        <w:rPr>
          <w:rFonts w:cstheme="minorHAnsi"/>
          <w:lang w:val="en-GB"/>
        </w:rPr>
        <w:instrText>ADDIN CSL_CITATION {"citationItems":[{"id":"ITEM-1","itemData":{"author":[{"dropping-particle":"","family":"Burnham","given":"KP","non-dropping-particle":"","parse-names":false,"suffix":""},{"dropping-particle":"","family":"Anderson","given":"DR","non-dropping-particle":"","parse-names":false,"suffix":""}],"edition":"2nd","id":"ITEM-1","issued":{"date-parts":[["2002"]]},"publisher":"Springer, New York","publisher-place":"NewYork, Springer","title":"Model selection and multimodel inference: a practical information-theoretic approach","type":"book"},"uris":["http://www.mendeley.com/documents/?uuid=7930b545-b3b8-4a99-ba7f-519c3c4d2574"]}],"mendeley":{"formattedCitation":"(Burnham and Anderson, 2002)","plainTextFormattedCitation":"(Burnham and Anderson, 2002)","previouslyFormattedCitation":"(Burnham and Anderson, 2002)"},"properties":{"noteIndex":0},"schema":"https://github.com/citation-style-language/schema/raw/master/csl-citation.json"}</w:instrText>
      </w:r>
      <w:r w:rsidRPr="00A34CD9">
        <w:rPr>
          <w:rFonts w:cstheme="minorHAnsi"/>
          <w:lang w:val="en-GB"/>
        </w:rPr>
        <w:fldChar w:fldCharType="separate"/>
      </w:r>
      <w:r w:rsidR="003600F9" w:rsidRPr="00A34CD9">
        <w:rPr>
          <w:rFonts w:cstheme="minorHAnsi"/>
          <w:noProof/>
          <w:lang w:val="en-GB"/>
        </w:rPr>
        <w:t>(Burnham and Anderson, 2002)</w:t>
      </w:r>
      <w:r w:rsidRPr="00A34CD9">
        <w:rPr>
          <w:rFonts w:cstheme="minorHAnsi"/>
          <w:lang w:val="en-GB"/>
        </w:rPr>
        <w:fldChar w:fldCharType="end"/>
      </w:r>
      <w:r w:rsidR="009D25DF" w:rsidRPr="00A34CD9">
        <w:rPr>
          <w:rFonts w:cstheme="minorHAnsi"/>
          <w:lang w:val="en-GB"/>
        </w:rPr>
        <w:t>.</w:t>
      </w:r>
      <w:r w:rsidR="00334795" w:rsidRPr="00A34CD9">
        <w:rPr>
          <w:rFonts w:cstheme="minorHAnsi"/>
          <w:lang w:val="en-GB"/>
        </w:rPr>
        <w:t xml:space="preserve"> </w:t>
      </w:r>
      <w:r w:rsidR="001666A1" w:rsidRPr="00A34CD9">
        <w:rPr>
          <w:rFonts w:cstheme="minorHAnsi"/>
          <w:lang w:val="en-GB"/>
        </w:rPr>
        <w:t>M</w:t>
      </w:r>
      <w:r w:rsidR="00A722AE" w:rsidRPr="00A34CD9">
        <w:rPr>
          <w:rFonts w:cstheme="minorHAnsi"/>
          <w:lang w:val="en-GB"/>
        </w:rPr>
        <w:t xml:space="preserve">odels were ranked based on their </w:t>
      </w:r>
      <w:proofErr w:type="spellStart"/>
      <w:r w:rsidR="00606168" w:rsidRPr="00A34CD9">
        <w:rPr>
          <w:rFonts w:cstheme="minorHAnsi"/>
          <w:lang w:val="en-GB"/>
        </w:rPr>
        <w:t>AICc</w:t>
      </w:r>
      <w:proofErr w:type="spellEnd"/>
      <w:r w:rsidR="00A722AE" w:rsidRPr="00A34CD9">
        <w:rPr>
          <w:rFonts w:cstheme="minorHAnsi"/>
          <w:lang w:val="en-GB"/>
        </w:rPr>
        <w:t xml:space="preserve"> and</w:t>
      </w:r>
      <w:r w:rsidR="00F94C51" w:rsidRPr="00A34CD9">
        <w:rPr>
          <w:rFonts w:cstheme="minorHAnsi"/>
          <w:lang w:val="en-GB"/>
        </w:rPr>
        <w:t>,</w:t>
      </w:r>
      <w:r w:rsidR="00A722AE" w:rsidRPr="00A34CD9">
        <w:rPr>
          <w:rFonts w:cstheme="minorHAnsi"/>
          <w:lang w:val="en-GB"/>
        </w:rPr>
        <w:t xml:space="preserve"> </w:t>
      </w:r>
      <w:r w:rsidR="00606168" w:rsidRPr="00A34CD9">
        <w:rPr>
          <w:rFonts w:cstheme="minorHAnsi"/>
          <w:lang w:val="en-GB"/>
        </w:rPr>
        <w:t xml:space="preserve">if no clear </w:t>
      </w:r>
      <w:r w:rsidR="00A722AE" w:rsidRPr="00A34CD9">
        <w:rPr>
          <w:rFonts w:cstheme="minorHAnsi"/>
          <w:lang w:val="en-GB"/>
        </w:rPr>
        <w:t>best</w:t>
      </w:r>
      <w:r w:rsidR="009A7CC8" w:rsidRPr="00A34CD9">
        <w:rPr>
          <w:rFonts w:cstheme="minorHAnsi"/>
          <w:lang w:val="en-GB"/>
        </w:rPr>
        <w:t xml:space="preserve"> </w:t>
      </w:r>
      <w:r w:rsidR="00606168" w:rsidRPr="00A34CD9">
        <w:rPr>
          <w:rFonts w:cstheme="minorHAnsi"/>
          <w:lang w:val="en-GB"/>
        </w:rPr>
        <w:t>model was identified (</w:t>
      </w:r>
      <w:proofErr w:type="spellStart"/>
      <w:r w:rsidR="00606168" w:rsidRPr="00A34CD9">
        <w:rPr>
          <w:rFonts w:cstheme="minorHAnsi"/>
          <w:lang w:val="en-GB"/>
        </w:rPr>
        <w:t>ω</w:t>
      </w:r>
      <w:r w:rsidR="00606168" w:rsidRPr="00A34CD9">
        <w:rPr>
          <w:rFonts w:cstheme="minorHAnsi"/>
          <w:vertAlign w:val="subscript"/>
          <w:lang w:val="en-GB"/>
        </w:rPr>
        <w:t>i</w:t>
      </w:r>
      <w:proofErr w:type="spellEnd"/>
      <w:r w:rsidR="00606168" w:rsidRPr="00A34CD9">
        <w:rPr>
          <w:rFonts w:cstheme="minorHAnsi"/>
          <w:lang w:val="en-GB"/>
        </w:rPr>
        <w:t xml:space="preserve"> &gt; 0.9</w:t>
      </w:r>
      <w:r w:rsidR="00E74D97" w:rsidRPr="00A34CD9">
        <w:rPr>
          <w:rFonts w:cstheme="minorHAnsi"/>
          <w:lang w:val="en-GB"/>
        </w:rPr>
        <w:t>5</w:t>
      </w:r>
      <w:r w:rsidR="00606168" w:rsidRPr="00A34CD9">
        <w:rPr>
          <w:rFonts w:cstheme="minorHAnsi"/>
          <w:lang w:val="en-GB"/>
        </w:rPr>
        <w:t xml:space="preserve">), a model averaging approach was used </w:t>
      </w:r>
      <w:r w:rsidR="00606168" w:rsidRPr="00A34CD9">
        <w:rPr>
          <w:rFonts w:cstheme="minorHAnsi"/>
          <w:lang w:val="en-GB"/>
        </w:rPr>
        <w:fldChar w:fldCharType="begin" w:fldLock="1"/>
      </w:r>
      <w:r w:rsidR="005E336E" w:rsidRPr="00A34CD9">
        <w:rPr>
          <w:rFonts w:cstheme="minorHAnsi"/>
          <w:lang w:val="en-GB"/>
        </w:rPr>
        <w:instrText>ADDIN CSL_CITATION {"citationItems":[{"id":"ITEM-1","itemData":{"author":[{"dropping-particle":"","family":"Burnham","given":"KP","non-dropping-particle":"","parse-names":false,"suffix":""},{"dropping-particle":"","family":"Anderson","given":"DR","non-dropping-particle":"","parse-names":false,"suffix":""}],"edition":"2nd","id":"ITEM-1","issued":{"date-parts":[["2002"]]},"publisher":"Springer, New York","publisher-place":"NewYork, Springer","title":"Model selection and multimodel inference: a practical information-theoretic approach","type":"book"},"uris":["http://www.mendeley.com/documents/?uuid=7930b545-b3b8-4a99-ba7f-519c3c4d2574"]}],"mendeley":{"formattedCitation":"(Burnham and Anderson, 2002)","plainTextFormattedCitation":"(Burnham and Anderson, 2002)","previouslyFormattedCitation":"(Burnham and Anderson, 2002)"},"properties":{"noteIndex":0},"schema":"https://github.com/citation-style-language/schema/raw/master/csl-citation.json"}</w:instrText>
      </w:r>
      <w:r w:rsidR="00606168" w:rsidRPr="00A34CD9">
        <w:rPr>
          <w:rFonts w:cstheme="minorHAnsi"/>
          <w:lang w:val="en-GB"/>
        </w:rPr>
        <w:fldChar w:fldCharType="separate"/>
      </w:r>
      <w:r w:rsidR="003600F9" w:rsidRPr="00A34CD9">
        <w:rPr>
          <w:rFonts w:cstheme="minorHAnsi"/>
          <w:noProof/>
          <w:lang w:val="en-GB"/>
        </w:rPr>
        <w:t>(Burnham and Anderson, 2002)</w:t>
      </w:r>
      <w:r w:rsidR="00606168" w:rsidRPr="00A34CD9">
        <w:rPr>
          <w:rFonts w:cstheme="minorHAnsi"/>
          <w:lang w:val="en-GB"/>
        </w:rPr>
        <w:fldChar w:fldCharType="end"/>
      </w:r>
      <w:r w:rsidR="00606168" w:rsidRPr="00A34CD9">
        <w:rPr>
          <w:rFonts w:cstheme="minorHAnsi"/>
          <w:lang w:val="en-GB"/>
        </w:rPr>
        <w:t xml:space="preserve">. </w:t>
      </w:r>
      <w:r w:rsidR="00D75042" w:rsidRPr="00A34CD9">
        <w:rPr>
          <w:rFonts w:cstheme="minorHAnsi"/>
          <w:lang w:val="en-GB"/>
        </w:rPr>
        <w:t xml:space="preserve">Model averaging was performed using a 95% confidence set of models where the cumulative sum of </w:t>
      </w:r>
      <w:proofErr w:type="spellStart"/>
      <w:r w:rsidR="00D75042" w:rsidRPr="00A34CD9">
        <w:rPr>
          <w:rFonts w:cstheme="minorHAnsi"/>
          <w:lang w:val="en-GB"/>
        </w:rPr>
        <w:t>ω</w:t>
      </w:r>
      <w:r w:rsidR="00D75042" w:rsidRPr="00A34CD9">
        <w:rPr>
          <w:rFonts w:cstheme="minorHAnsi"/>
          <w:vertAlign w:val="subscript"/>
          <w:lang w:val="en-GB"/>
        </w:rPr>
        <w:t>i</w:t>
      </w:r>
      <w:proofErr w:type="spellEnd"/>
      <w:r w:rsidR="00D75042" w:rsidRPr="00A34CD9">
        <w:rPr>
          <w:rFonts w:cstheme="minorHAnsi"/>
          <w:lang w:val="en-GB"/>
        </w:rPr>
        <w:t xml:space="preserve"> was ≥ 0.95, starting with the model with the highest </w:t>
      </w:r>
      <w:proofErr w:type="spellStart"/>
      <w:r w:rsidR="00D75042" w:rsidRPr="00A34CD9">
        <w:rPr>
          <w:rFonts w:cstheme="minorHAnsi"/>
          <w:lang w:val="en-GB"/>
        </w:rPr>
        <w:t>ω</w:t>
      </w:r>
      <w:r w:rsidR="00D75042" w:rsidRPr="00A34CD9">
        <w:rPr>
          <w:rFonts w:cstheme="minorHAnsi"/>
          <w:vertAlign w:val="subscript"/>
          <w:lang w:val="en-GB"/>
        </w:rPr>
        <w:t>i</w:t>
      </w:r>
      <w:proofErr w:type="spellEnd"/>
      <w:r w:rsidR="00D75042" w:rsidRPr="00A34CD9">
        <w:rPr>
          <w:rFonts w:cstheme="minorHAnsi"/>
          <w:vertAlign w:val="subscript"/>
          <w:lang w:val="en-GB"/>
        </w:rPr>
        <w:t xml:space="preserve"> </w:t>
      </w:r>
      <w:r w:rsidR="00D75042" w:rsidRPr="00A34CD9">
        <w:rPr>
          <w:rFonts w:cstheme="minorHAnsi"/>
          <w:lang w:val="en-GB"/>
        </w:rPr>
        <w:fldChar w:fldCharType="begin" w:fldLock="1"/>
      </w:r>
      <w:r w:rsidR="005E336E" w:rsidRPr="00A34CD9">
        <w:rPr>
          <w:rFonts w:cstheme="minorHAnsi"/>
          <w:lang w:val="en-GB"/>
        </w:rPr>
        <w:instrText>ADDIN CSL_CITATION {"citationItems":[{"id":"ITEM-1","itemData":{"DOI":"10.1016/j.tree.2003.10.013","ISBN":"0169-5347","ISSN":"01695347","PMID":"16701236","abstract":"Recently, researchers in several areas of ecology and evolution have begun to change the way in which they analyze data and make biological inferences. Rather than the traditional null hypothesis testing approach, they have adopted an approach called model selection, in which several competing hypotheses are simultaneously confronted with data. Model selection can be used to identify a single best model, thus lending support to one particular hypothesis, or it can be used to make inferences based on weighted support from a complete set of competing models. Model selection is widely accepted and well developed in certain fields, most notably in molecular systematics and mark-recapture analysis. However, it is now gaining support in several other areas, from molecular evolution to landscape ecology. Here, we outline the steps of model selection and highlight several ways that it is now being implemented. By adopting this approach, researchers in ecology and evolution will find a valuable alternative to traditional null hypothesis testing, especially when more than one hypothesis is plausible.","author":[{"dropping-particle":"","family":"Johnson","given":"Jerald B.","non-dropping-particle":"","parse-names":false,"suffix":""},{"dropping-particle":"","family":"Omland","given":"Kristian S.","non-dropping-particle":"","parse-names":false,"suffix":""}],"container-title":"Trends in Ecology and Evolution","id":"ITEM-1","issue":"2","issued":{"date-parts":[["2004"]]},"page":"101-108","title":"Model selection in ecology and evolution","type":"article-journal","volume":"19"},"uris":["http://www.mendeley.com/documents/?uuid=871d45c8-9285-338b-badc-5faa2051c0b5"]}],"mendeley":{"formattedCitation":"(Johnson and Omland, 2004)","plainTextFormattedCitation":"(Johnson and Omland, 2004)","previouslyFormattedCitation":"(Johnson and Omland, 2004)"},"properties":{"noteIndex":0},"schema":"https://github.com/citation-style-language/schema/raw/master/csl-citation.json"}</w:instrText>
      </w:r>
      <w:r w:rsidR="00D75042" w:rsidRPr="00A34CD9">
        <w:rPr>
          <w:rFonts w:cstheme="minorHAnsi"/>
          <w:lang w:val="en-GB"/>
        </w:rPr>
        <w:fldChar w:fldCharType="separate"/>
      </w:r>
      <w:r w:rsidR="003600F9" w:rsidRPr="00A34CD9">
        <w:rPr>
          <w:rFonts w:cstheme="minorHAnsi"/>
          <w:noProof/>
          <w:lang w:val="en-GB"/>
        </w:rPr>
        <w:t>(Johnson and Omland, 2004)</w:t>
      </w:r>
      <w:r w:rsidR="00D75042" w:rsidRPr="00A34CD9">
        <w:rPr>
          <w:rFonts w:cstheme="minorHAnsi"/>
          <w:lang w:val="en-GB"/>
        </w:rPr>
        <w:fldChar w:fldCharType="end"/>
      </w:r>
      <w:r w:rsidR="00D75042" w:rsidRPr="00A34CD9">
        <w:rPr>
          <w:rFonts w:cstheme="minorHAnsi"/>
          <w:lang w:val="en-GB"/>
        </w:rPr>
        <w:t xml:space="preserve">. </w:t>
      </w:r>
      <w:r w:rsidR="00803214" w:rsidRPr="00A34CD9">
        <w:rPr>
          <w:rFonts w:cstheme="minorHAnsi"/>
          <w:lang w:val="en-GB"/>
        </w:rPr>
        <w:t>This 95% confidence set of models was used</w:t>
      </w:r>
      <w:r w:rsidR="00D75042" w:rsidRPr="00A34CD9">
        <w:rPr>
          <w:rFonts w:cstheme="minorHAnsi"/>
          <w:lang w:val="en-GB"/>
        </w:rPr>
        <w:t xml:space="preserve"> t</w:t>
      </w:r>
      <w:r w:rsidR="00606168" w:rsidRPr="00A34CD9">
        <w:rPr>
          <w:rFonts w:cstheme="minorHAnsi"/>
          <w:lang w:val="en-GB"/>
        </w:rPr>
        <w:t>o obtain averaged coefficients and variance estimator</w:t>
      </w:r>
      <w:r w:rsidR="006A4B37" w:rsidRPr="00A34CD9">
        <w:rPr>
          <w:rFonts w:cstheme="minorHAnsi"/>
          <w:lang w:val="en-GB"/>
        </w:rPr>
        <w:t xml:space="preserve">. </w:t>
      </w:r>
      <w:r w:rsidR="00E42F4B" w:rsidRPr="00A34CD9">
        <w:rPr>
          <w:rFonts w:cstheme="minorHAnsi"/>
          <w:lang w:val="en-GB"/>
        </w:rPr>
        <w:t>T</w:t>
      </w:r>
      <w:r w:rsidR="001B6338" w:rsidRPr="00A34CD9">
        <w:rPr>
          <w:rFonts w:cstheme="minorHAnsi"/>
          <w:lang w:val="en-GB"/>
        </w:rPr>
        <w:t xml:space="preserve">he relative importance of </w:t>
      </w:r>
      <w:r w:rsidR="00171EDB" w:rsidRPr="00A34CD9">
        <w:rPr>
          <w:rFonts w:cstheme="minorHAnsi"/>
          <w:lang w:val="en-GB"/>
        </w:rPr>
        <w:t xml:space="preserve">the </w:t>
      </w:r>
      <w:r w:rsidR="00B37EC4" w:rsidRPr="00A34CD9">
        <w:rPr>
          <w:rFonts w:cstheme="minorHAnsi"/>
          <w:lang w:val="en-GB"/>
        </w:rPr>
        <w:t>explanatory</w:t>
      </w:r>
      <w:r w:rsidR="001B6338" w:rsidRPr="00A34CD9">
        <w:rPr>
          <w:rFonts w:cstheme="minorHAnsi"/>
          <w:lang w:val="en-GB"/>
        </w:rPr>
        <w:t xml:space="preserve"> </w:t>
      </w:r>
      <w:r w:rsidR="005028FE" w:rsidRPr="00A34CD9">
        <w:rPr>
          <w:rFonts w:cstheme="minorHAnsi"/>
          <w:lang w:val="en-GB"/>
        </w:rPr>
        <w:t>variables</w:t>
      </w:r>
      <w:r w:rsidR="001B6338" w:rsidRPr="00A34CD9">
        <w:rPr>
          <w:rFonts w:cstheme="minorHAnsi"/>
          <w:lang w:val="en-GB"/>
        </w:rPr>
        <w:t xml:space="preserve"> </w:t>
      </w:r>
      <w:r w:rsidR="00E42F4B" w:rsidRPr="00A34CD9">
        <w:rPr>
          <w:rFonts w:cstheme="minorHAnsi"/>
          <w:lang w:val="en-GB"/>
        </w:rPr>
        <w:t xml:space="preserve">was calculated </w:t>
      </w:r>
      <w:r w:rsidR="001B6338" w:rsidRPr="00A34CD9">
        <w:rPr>
          <w:rFonts w:cstheme="minorHAnsi"/>
          <w:lang w:val="en-GB"/>
        </w:rPr>
        <w:t xml:space="preserve">as the sum of the </w:t>
      </w:r>
      <w:proofErr w:type="spellStart"/>
      <w:r w:rsidR="001B6338" w:rsidRPr="00A34CD9">
        <w:rPr>
          <w:rFonts w:cstheme="minorHAnsi"/>
          <w:lang w:val="en-GB"/>
        </w:rPr>
        <w:t>ω</w:t>
      </w:r>
      <w:r w:rsidR="001B6338" w:rsidRPr="00A34CD9">
        <w:rPr>
          <w:rFonts w:cstheme="minorHAnsi"/>
          <w:vertAlign w:val="subscript"/>
          <w:lang w:val="en-GB"/>
        </w:rPr>
        <w:t>i</w:t>
      </w:r>
      <w:proofErr w:type="spellEnd"/>
      <w:r w:rsidR="001B6338" w:rsidRPr="00A34CD9">
        <w:rPr>
          <w:rFonts w:cstheme="minorHAnsi"/>
          <w:vertAlign w:val="subscript"/>
          <w:lang w:val="en-GB"/>
        </w:rPr>
        <w:t xml:space="preserve"> </w:t>
      </w:r>
      <w:r w:rsidR="001B6338" w:rsidRPr="00A34CD9">
        <w:rPr>
          <w:rFonts w:cstheme="minorHAnsi"/>
          <w:lang w:val="en-GB"/>
        </w:rPr>
        <w:t>of the models in which the covariate was included</w:t>
      </w:r>
      <w:r w:rsidR="00B5454E" w:rsidRPr="00A34CD9">
        <w:rPr>
          <w:rFonts w:cstheme="minorHAnsi"/>
          <w:lang w:val="en-GB"/>
        </w:rPr>
        <w:t xml:space="preserve"> and t</w:t>
      </w:r>
      <w:r w:rsidR="0089082E" w:rsidRPr="00A34CD9">
        <w:rPr>
          <w:rFonts w:cstheme="minorHAnsi"/>
          <w:lang w:val="en-GB"/>
        </w:rPr>
        <w:t>he r</w:t>
      </w:r>
      <w:r w:rsidR="001B6338" w:rsidRPr="00A34CD9">
        <w:rPr>
          <w:rFonts w:cstheme="minorHAnsi"/>
          <w:lang w:val="en-GB"/>
        </w:rPr>
        <w:t xml:space="preserve">esponse plots </w:t>
      </w:r>
      <w:r w:rsidR="00171EDB" w:rsidRPr="00A34CD9">
        <w:rPr>
          <w:rFonts w:cstheme="minorHAnsi"/>
          <w:lang w:val="en-GB"/>
        </w:rPr>
        <w:t xml:space="preserve">were constructed based on averaged coefficient of the 95% confidence set. Finally, selected models </w:t>
      </w:r>
      <w:r w:rsidR="00A20C6F" w:rsidRPr="00A34CD9">
        <w:rPr>
          <w:rFonts w:cstheme="minorHAnsi"/>
          <w:lang w:val="en-GB"/>
        </w:rPr>
        <w:t xml:space="preserve">included within the 95% confidence set </w:t>
      </w:r>
      <w:r w:rsidR="00171EDB" w:rsidRPr="00A34CD9">
        <w:rPr>
          <w:rFonts w:cstheme="minorHAnsi"/>
          <w:lang w:val="en-GB"/>
        </w:rPr>
        <w:t xml:space="preserve">were used to predict the spatial density </w:t>
      </w:r>
      <w:r w:rsidR="0089082E" w:rsidRPr="00A34CD9">
        <w:rPr>
          <w:rFonts w:cstheme="minorHAnsi"/>
          <w:lang w:val="en-GB"/>
        </w:rPr>
        <w:t>of great shearwater for every</w:t>
      </w:r>
      <w:r w:rsidR="004352FF" w:rsidRPr="00A34CD9">
        <w:rPr>
          <w:rFonts w:cstheme="minorHAnsi"/>
          <w:lang w:val="en-GB"/>
        </w:rPr>
        <w:t xml:space="preserve"> September</w:t>
      </w:r>
      <w:r w:rsidR="0089082E" w:rsidRPr="00A34CD9">
        <w:rPr>
          <w:rFonts w:cstheme="minorHAnsi"/>
          <w:lang w:val="en-GB"/>
        </w:rPr>
        <w:t xml:space="preserve">. </w:t>
      </w:r>
      <w:r w:rsidR="00EE38DB" w:rsidRPr="00A34CD9">
        <w:rPr>
          <w:rFonts w:cstheme="minorHAnsi"/>
          <w:lang w:val="en-GB"/>
        </w:rPr>
        <w:t>The density estimates presented here were uncorrected for any detection bias.</w:t>
      </w:r>
      <w:r w:rsidR="00171EDB" w:rsidRPr="00A34CD9">
        <w:rPr>
          <w:rFonts w:cstheme="minorHAnsi"/>
          <w:lang w:val="en-GB"/>
        </w:rPr>
        <w:t xml:space="preserve"> </w:t>
      </w:r>
    </w:p>
    <w:p w14:paraId="6EFD446E" w14:textId="3C467D35" w:rsidR="005D54BB" w:rsidRPr="00A34CD9" w:rsidRDefault="0000469E" w:rsidP="002A528E">
      <w:pPr>
        <w:pStyle w:val="Prrafodelista"/>
        <w:numPr>
          <w:ilvl w:val="1"/>
          <w:numId w:val="3"/>
        </w:numPr>
        <w:suppressLineNumbers/>
        <w:spacing w:line="480" w:lineRule="auto"/>
        <w:outlineLvl w:val="1"/>
        <w:rPr>
          <w:rFonts w:cstheme="minorHAnsi"/>
          <w:b/>
          <w:bCs/>
          <w:sz w:val="24"/>
          <w:szCs w:val="24"/>
          <w:lang w:val="en-GB"/>
        </w:rPr>
      </w:pPr>
      <w:r w:rsidRPr="00A34CD9">
        <w:rPr>
          <w:rFonts w:cstheme="minorHAnsi"/>
          <w:b/>
          <w:bCs/>
          <w:sz w:val="24"/>
          <w:szCs w:val="24"/>
          <w:lang w:val="en-GB"/>
        </w:rPr>
        <w:t>VMS and logbook data processing</w:t>
      </w:r>
    </w:p>
    <w:p w14:paraId="16D9E63C" w14:textId="7F47856E" w:rsidR="00B37EC4" w:rsidRPr="00A34CD9" w:rsidRDefault="00A802C5" w:rsidP="002A528E">
      <w:pPr>
        <w:suppressLineNumbers/>
        <w:spacing w:line="480" w:lineRule="auto"/>
        <w:jc w:val="both"/>
        <w:rPr>
          <w:rFonts w:cstheme="minorHAnsi"/>
          <w:lang w:val="en-GB"/>
        </w:rPr>
      </w:pPr>
      <w:r w:rsidRPr="00A34CD9">
        <w:rPr>
          <w:rFonts w:cstheme="minorHAnsi"/>
          <w:lang w:val="en-GB"/>
        </w:rPr>
        <w:t>VMS and logbook data</w:t>
      </w:r>
      <w:r w:rsidR="00315E09" w:rsidRPr="00A34CD9">
        <w:rPr>
          <w:rFonts w:cstheme="minorHAnsi"/>
          <w:lang w:val="en-GB"/>
        </w:rPr>
        <w:t xml:space="preserve"> were firstly cleaned</w:t>
      </w:r>
      <w:r w:rsidR="006E3B76" w:rsidRPr="00A34CD9">
        <w:rPr>
          <w:rFonts w:cstheme="minorHAnsi"/>
          <w:lang w:val="en-GB"/>
        </w:rPr>
        <w:t xml:space="preserve"> removing</w:t>
      </w:r>
      <w:r w:rsidR="00975AC1" w:rsidRPr="00A34CD9">
        <w:rPr>
          <w:rFonts w:cstheme="minorHAnsi"/>
          <w:lang w:val="en-GB"/>
        </w:rPr>
        <w:t xml:space="preserve">: </w:t>
      </w:r>
      <w:r w:rsidR="00315E09" w:rsidRPr="00A34CD9">
        <w:rPr>
          <w:rFonts w:cstheme="minorHAnsi"/>
          <w:lang w:val="en-GB"/>
        </w:rPr>
        <w:t xml:space="preserve"> </w:t>
      </w:r>
      <w:proofErr w:type="spellStart"/>
      <w:r w:rsidR="00315E09" w:rsidRPr="00A34CD9">
        <w:rPr>
          <w:rFonts w:cstheme="minorHAnsi"/>
          <w:lang w:val="en-GB"/>
        </w:rPr>
        <w:t>i</w:t>
      </w:r>
      <w:proofErr w:type="spellEnd"/>
      <w:r w:rsidR="00315E09" w:rsidRPr="00A34CD9">
        <w:rPr>
          <w:rFonts w:cstheme="minorHAnsi"/>
          <w:lang w:val="en-GB"/>
        </w:rPr>
        <w:t xml:space="preserve">) </w:t>
      </w:r>
      <w:r w:rsidR="00D5010E">
        <w:rPr>
          <w:rFonts w:cstheme="minorHAnsi"/>
          <w:lang w:val="en-GB"/>
        </w:rPr>
        <w:t>records</w:t>
      </w:r>
      <w:r w:rsidR="00315E09" w:rsidRPr="00A34CD9">
        <w:rPr>
          <w:rFonts w:cstheme="minorHAnsi"/>
          <w:lang w:val="en-GB"/>
        </w:rPr>
        <w:t xml:space="preserve"> with invalid positions (</w:t>
      </w:r>
      <w:r w:rsidR="00573604" w:rsidRPr="00A34CD9">
        <w:rPr>
          <w:rFonts w:cstheme="minorHAnsi"/>
          <w:i/>
          <w:iCs/>
          <w:lang w:val="en-GB"/>
        </w:rPr>
        <w:t>e.g.,</w:t>
      </w:r>
      <w:r w:rsidR="00315E09" w:rsidRPr="00A34CD9">
        <w:rPr>
          <w:rFonts w:cstheme="minorHAnsi"/>
          <w:lang w:val="en-GB"/>
        </w:rPr>
        <w:t xml:space="preserve"> records located on land or in ports), ii) records associated with high speeds (&gt;20 knots) and heading outside compass range, iii) duplicated or pseudo</w:t>
      </w:r>
      <w:r w:rsidR="00A34CD9">
        <w:rPr>
          <w:rFonts w:cstheme="minorHAnsi"/>
          <w:lang w:val="en-GB"/>
        </w:rPr>
        <w:t>-</w:t>
      </w:r>
      <w:r w:rsidR="00315E09" w:rsidRPr="00A34CD9">
        <w:rPr>
          <w:rFonts w:cstheme="minorHAnsi"/>
          <w:lang w:val="en-GB"/>
        </w:rPr>
        <w:t xml:space="preserve">duplicated (&lt;5 min) records and iv) records when arrival date occurs before departure date. </w:t>
      </w:r>
      <w:r w:rsidR="00BB1E09" w:rsidRPr="00A34CD9">
        <w:rPr>
          <w:rFonts w:cstheme="minorHAnsi"/>
          <w:lang w:val="en-GB"/>
        </w:rPr>
        <w:t>Secondly</w:t>
      </w:r>
      <w:r w:rsidR="00315E09" w:rsidRPr="00A34CD9">
        <w:rPr>
          <w:rFonts w:cstheme="minorHAnsi"/>
          <w:lang w:val="en-GB"/>
        </w:rPr>
        <w:t>, VMS and logbook data</w:t>
      </w:r>
      <w:r w:rsidR="0073647F" w:rsidRPr="00A34CD9">
        <w:rPr>
          <w:rFonts w:cstheme="minorHAnsi"/>
          <w:lang w:val="en-GB"/>
        </w:rPr>
        <w:t xml:space="preserve"> were linked</w:t>
      </w:r>
      <w:r w:rsidR="00FD5686" w:rsidRPr="00A34CD9">
        <w:rPr>
          <w:rFonts w:cstheme="minorHAnsi"/>
          <w:lang w:val="en-GB"/>
        </w:rPr>
        <w:t xml:space="preserve"> removing unlinked records</w:t>
      </w:r>
      <w:r w:rsidR="00841CBF" w:rsidRPr="00A34CD9">
        <w:rPr>
          <w:rFonts w:cstheme="minorHAnsi"/>
          <w:lang w:val="en-GB"/>
        </w:rPr>
        <w:t xml:space="preserve"> using the R‐package </w:t>
      </w:r>
      <w:proofErr w:type="spellStart"/>
      <w:r w:rsidR="00841CBF" w:rsidRPr="00A34CD9">
        <w:rPr>
          <w:rFonts w:cstheme="minorHAnsi"/>
          <w:i/>
          <w:iCs/>
          <w:lang w:val="en-GB"/>
        </w:rPr>
        <w:t>vmstools</w:t>
      </w:r>
      <w:proofErr w:type="spellEnd"/>
      <w:r w:rsidR="00841CBF" w:rsidRPr="00A34CD9">
        <w:rPr>
          <w:rFonts w:cstheme="minorHAnsi"/>
          <w:i/>
          <w:iCs/>
          <w:lang w:val="en-GB"/>
        </w:rPr>
        <w:t xml:space="preserve"> </w:t>
      </w:r>
      <w:r w:rsidR="00356ECE" w:rsidRPr="00A34CD9">
        <w:rPr>
          <w:rFonts w:cstheme="minorHAnsi"/>
          <w:i/>
          <w:iCs/>
          <w:lang w:val="en-GB"/>
        </w:rPr>
        <w:fldChar w:fldCharType="begin" w:fldLock="1"/>
      </w:r>
      <w:r w:rsidR="00356ECE" w:rsidRPr="00A34CD9">
        <w:rPr>
          <w:rFonts w:cstheme="minorHAnsi"/>
          <w:i/>
          <w:iCs/>
          <w:lang w:val="en-GB"/>
        </w:rPr>
        <w:instrText>ADDIN CSL_CITATION {"citationItems":[{"id":"ITEM-1","itemData":{"author":[{"dropping-particle":"","family":"Hintzen","given":"Niels","non-dropping-particle":"","parse-names":false,"suffix":""},{"dropping-particle":"","family":"Bastardie","given":"Francois","non-dropping-particle":"","parse-names":false,"suffix":""},{"dropping-particle":"","family":"Beare","given":"Doug","non-dropping-particle":"","parse-names":false,"suffix":""}],"id":"ITEM-1","issued":{"date-parts":[["2021"]]},"title":"&lt;i&gt;vmstools&lt;/i&gt;: For analysing fisheries VMS (Vessel Monitoring System) data. R package version 0.76.","type":"article"},"uris":["http://www.mendeley.com/documents/?uuid=473f97bd-50cb-4b67-ac33-f635af927307"]}],"mendeley":{"formattedCitation":"(Hintzen &lt;i&gt;et al.&lt;/i&gt;, 2021)","plainTextFormattedCitation":"(Hintzen et al., 2021)","previouslyFormattedCitation":"(Hintzen &lt;i&gt;et al.&lt;/i&gt;, 2021)"},"properties":{"noteIndex":0},"schema":"https://github.com/citation-style-language/schema/raw/master/csl-citation.json"}</w:instrText>
      </w:r>
      <w:r w:rsidR="00356ECE" w:rsidRPr="00A34CD9">
        <w:rPr>
          <w:rFonts w:cstheme="minorHAnsi"/>
          <w:i/>
          <w:iCs/>
          <w:lang w:val="en-GB"/>
        </w:rPr>
        <w:fldChar w:fldCharType="separate"/>
      </w:r>
      <w:r w:rsidR="00356ECE" w:rsidRPr="00A34CD9">
        <w:rPr>
          <w:rFonts w:cstheme="minorHAnsi"/>
          <w:iCs/>
          <w:noProof/>
          <w:lang w:val="en-GB"/>
        </w:rPr>
        <w:t xml:space="preserve">(Hintzen </w:t>
      </w:r>
      <w:r w:rsidR="00356ECE" w:rsidRPr="00A34CD9">
        <w:rPr>
          <w:rFonts w:cstheme="minorHAnsi"/>
          <w:i/>
          <w:iCs/>
          <w:noProof/>
          <w:lang w:val="en-GB"/>
        </w:rPr>
        <w:t>et al.</w:t>
      </w:r>
      <w:r w:rsidR="00356ECE" w:rsidRPr="00A34CD9">
        <w:rPr>
          <w:rFonts w:cstheme="minorHAnsi"/>
          <w:iCs/>
          <w:noProof/>
          <w:lang w:val="en-GB"/>
        </w:rPr>
        <w:t>, 2021)</w:t>
      </w:r>
      <w:r w:rsidR="00356ECE" w:rsidRPr="00A34CD9">
        <w:rPr>
          <w:rFonts w:cstheme="minorHAnsi"/>
          <w:i/>
          <w:iCs/>
          <w:lang w:val="en-GB"/>
        </w:rPr>
        <w:fldChar w:fldCharType="end"/>
      </w:r>
      <w:r w:rsidR="00BB1E09" w:rsidRPr="00A34CD9">
        <w:rPr>
          <w:rFonts w:cstheme="minorHAnsi"/>
          <w:lang w:val="en-GB"/>
        </w:rPr>
        <w:t xml:space="preserve">. </w:t>
      </w:r>
      <w:r w:rsidR="00A106E2" w:rsidRPr="00A34CD9">
        <w:rPr>
          <w:rFonts w:cstheme="minorHAnsi"/>
          <w:lang w:val="en-GB"/>
        </w:rPr>
        <w:t>Thirdly, t</w:t>
      </w:r>
      <w:r w:rsidR="0046485F" w:rsidRPr="00A34CD9">
        <w:rPr>
          <w:rFonts w:cstheme="minorHAnsi"/>
          <w:lang w:val="en-GB"/>
        </w:rPr>
        <w:t xml:space="preserve">he artisanal tuna fishery was identified as those trips where </w:t>
      </w:r>
      <w:r w:rsidR="004B7E98" w:rsidRPr="00A34CD9">
        <w:rPr>
          <w:rFonts w:cstheme="minorHAnsi"/>
          <w:lang w:val="en-GB"/>
        </w:rPr>
        <w:t>&gt;</w:t>
      </w:r>
      <w:r w:rsidR="0046485F" w:rsidRPr="00A34CD9">
        <w:rPr>
          <w:rFonts w:cstheme="minorHAnsi"/>
          <w:lang w:val="en-GB"/>
        </w:rPr>
        <w:t xml:space="preserve"> 80% of the </w:t>
      </w:r>
      <w:r w:rsidR="0046485F" w:rsidRPr="00A34CD9">
        <w:rPr>
          <w:rFonts w:cstheme="minorHAnsi"/>
          <w:lang w:val="en-GB"/>
        </w:rPr>
        <w:lastRenderedPageBreak/>
        <w:t>catches were tuna</w:t>
      </w:r>
      <w:r w:rsidR="00A106E2" w:rsidRPr="00A34CD9">
        <w:rPr>
          <w:rFonts w:cstheme="minorHAnsi"/>
          <w:lang w:val="en-GB"/>
        </w:rPr>
        <w:t xml:space="preserve"> species</w:t>
      </w:r>
      <w:r w:rsidR="00E42ED5" w:rsidRPr="00A34CD9">
        <w:rPr>
          <w:rFonts w:cstheme="minorHAnsi"/>
          <w:lang w:val="en-GB"/>
        </w:rPr>
        <w:t xml:space="preserve"> according with the logbook data</w:t>
      </w:r>
      <w:r w:rsidR="004B7E98" w:rsidRPr="00A34CD9">
        <w:rPr>
          <w:rFonts w:cstheme="minorHAnsi"/>
          <w:lang w:val="en-GB"/>
        </w:rPr>
        <w:t xml:space="preserve">. Then, </w:t>
      </w:r>
      <w:r w:rsidR="0046485F" w:rsidRPr="00A34CD9">
        <w:rPr>
          <w:rFonts w:cstheme="minorHAnsi"/>
          <w:lang w:val="en-GB"/>
        </w:rPr>
        <w:t>the</w:t>
      </w:r>
      <w:r w:rsidR="00A106E2" w:rsidRPr="00A34CD9">
        <w:rPr>
          <w:rFonts w:cstheme="minorHAnsi"/>
          <w:lang w:val="en-GB"/>
        </w:rPr>
        <w:t xml:space="preserve"> corresponding metier</w:t>
      </w:r>
      <w:r w:rsidR="0046485F" w:rsidRPr="00A34CD9">
        <w:rPr>
          <w:rFonts w:cstheme="minorHAnsi"/>
          <w:lang w:val="en-GB"/>
        </w:rPr>
        <w:t xml:space="preserve"> was assigned based on the Spanish </w:t>
      </w:r>
      <w:r w:rsidR="00991177" w:rsidRPr="00A34CD9">
        <w:rPr>
          <w:rFonts w:cstheme="minorHAnsi"/>
          <w:lang w:val="en-GB"/>
        </w:rPr>
        <w:t xml:space="preserve">National </w:t>
      </w:r>
      <w:r w:rsidR="0046485F" w:rsidRPr="00A34CD9">
        <w:rPr>
          <w:rFonts w:cstheme="minorHAnsi"/>
          <w:lang w:val="en-GB"/>
        </w:rPr>
        <w:t>Fleet Census</w:t>
      </w:r>
      <w:r w:rsidR="00991177" w:rsidRPr="00A34CD9">
        <w:rPr>
          <w:rFonts w:cstheme="minorHAnsi"/>
          <w:lang w:val="en-GB"/>
        </w:rPr>
        <w:t xml:space="preserve"> modalities. H</w:t>
      </w:r>
      <w:r w:rsidR="004B7E98" w:rsidRPr="00A34CD9">
        <w:rPr>
          <w:rFonts w:cstheme="minorHAnsi"/>
          <w:lang w:val="en-GB"/>
        </w:rPr>
        <w:t xml:space="preserve">owever, no vessels are registered as LHP or LTL since the same vessel change the gear </w:t>
      </w:r>
      <w:r w:rsidR="00D5010E" w:rsidRPr="00A34CD9">
        <w:rPr>
          <w:rFonts w:cstheme="minorHAnsi"/>
          <w:lang w:val="en-GB"/>
        </w:rPr>
        <w:t>th</w:t>
      </w:r>
      <w:r w:rsidR="00D5010E">
        <w:rPr>
          <w:rFonts w:cstheme="minorHAnsi"/>
          <w:lang w:val="en-GB"/>
        </w:rPr>
        <w:t>r</w:t>
      </w:r>
      <w:r w:rsidR="00D5010E" w:rsidRPr="00A34CD9">
        <w:rPr>
          <w:rFonts w:cstheme="minorHAnsi"/>
          <w:lang w:val="en-GB"/>
        </w:rPr>
        <w:t>ough</w:t>
      </w:r>
      <w:r w:rsidR="004B7E98" w:rsidRPr="00A34CD9">
        <w:rPr>
          <w:rFonts w:cstheme="minorHAnsi"/>
          <w:lang w:val="en-GB"/>
        </w:rPr>
        <w:t xml:space="preserve"> the different fishing seasons</w:t>
      </w:r>
      <w:r w:rsidR="005E26C2" w:rsidRPr="00A34CD9">
        <w:rPr>
          <w:rFonts w:cstheme="minorHAnsi"/>
          <w:lang w:val="en-GB"/>
        </w:rPr>
        <w:t xml:space="preserve"> </w:t>
      </w:r>
      <w:r w:rsidR="00991177" w:rsidRPr="00A34CD9">
        <w:rPr>
          <w:rFonts w:cstheme="minorHAnsi"/>
          <w:lang w:val="en-GB"/>
        </w:rPr>
        <w:t>and the census only registers one main fishing gear</w:t>
      </w:r>
      <w:r w:rsidR="004B7E98" w:rsidRPr="00A34CD9">
        <w:rPr>
          <w:rFonts w:cstheme="minorHAnsi"/>
          <w:lang w:val="en-GB"/>
        </w:rPr>
        <w:t xml:space="preserve">. Thus, </w:t>
      </w:r>
      <w:r w:rsidR="00E42ED5" w:rsidRPr="00A34CD9">
        <w:rPr>
          <w:rFonts w:cstheme="minorHAnsi"/>
          <w:lang w:val="en-GB"/>
        </w:rPr>
        <w:t>those</w:t>
      </w:r>
      <w:r w:rsidR="00F6308E" w:rsidRPr="00A34CD9">
        <w:rPr>
          <w:rFonts w:cstheme="minorHAnsi"/>
          <w:lang w:val="en-GB"/>
        </w:rPr>
        <w:t xml:space="preserve"> vessels with &gt; 80% of the catches being tuna </w:t>
      </w:r>
      <w:r w:rsidR="00991177" w:rsidRPr="00A34CD9">
        <w:rPr>
          <w:rFonts w:cstheme="minorHAnsi"/>
          <w:lang w:val="en-GB"/>
        </w:rPr>
        <w:t>species and registered on the Spanish National Fleet Census under the</w:t>
      </w:r>
      <w:r w:rsidR="00BB471A" w:rsidRPr="00A34CD9">
        <w:rPr>
          <w:rFonts w:cstheme="minorHAnsi"/>
          <w:lang w:val="en-GB"/>
        </w:rPr>
        <w:t xml:space="preserve"> </w:t>
      </w:r>
      <w:r w:rsidR="00A106E2" w:rsidRPr="00A34CD9">
        <w:rPr>
          <w:rFonts w:cstheme="minorHAnsi"/>
          <w:lang w:val="en-GB"/>
        </w:rPr>
        <w:t>p</w:t>
      </w:r>
      <w:r w:rsidR="0046485F" w:rsidRPr="00A34CD9">
        <w:rPr>
          <w:rFonts w:cstheme="minorHAnsi"/>
          <w:lang w:val="en-GB"/>
        </w:rPr>
        <w:t xml:space="preserve">urse seiners </w:t>
      </w:r>
      <w:r w:rsidR="00991177" w:rsidRPr="00A34CD9">
        <w:rPr>
          <w:rFonts w:cstheme="minorHAnsi"/>
          <w:lang w:val="en-GB"/>
        </w:rPr>
        <w:t xml:space="preserve">modality </w:t>
      </w:r>
      <w:r w:rsidR="00F6308E" w:rsidRPr="00A34CD9">
        <w:rPr>
          <w:rFonts w:cstheme="minorHAnsi"/>
          <w:lang w:val="en-GB"/>
        </w:rPr>
        <w:t xml:space="preserve">were </w:t>
      </w:r>
      <w:r w:rsidR="0046485F" w:rsidRPr="00A34CD9">
        <w:rPr>
          <w:rFonts w:cstheme="minorHAnsi"/>
          <w:lang w:val="en-GB"/>
        </w:rPr>
        <w:t>identified as LHP and the rest</w:t>
      </w:r>
      <w:r w:rsidR="00991177" w:rsidRPr="00A34CD9">
        <w:rPr>
          <w:rFonts w:cstheme="minorHAnsi"/>
          <w:lang w:val="en-GB"/>
        </w:rPr>
        <w:t xml:space="preserve"> of the vessels registered in other modalities</w:t>
      </w:r>
      <w:r w:rsidR="0046485F" w:rsidRPr="00A34CD9">
        <w:rPr>
          <w:rFonts w:cstheme="minorHAnsi"/>
          <w:lang w:val="en-GB"/>
        </w:rPr>
        <w:t xml:space="preserve"> as LTL</w:t>
      </w:r>
      <w:r w:rsidR="00991177" w:rsidRPr="00A34CD9">
        <w:rPr>
          <w:rFonts w:cstheme="minorHAnsi"/>
          <w:lang w:val="en-GB"/>
        </w:rPr>
        <w:t>.</w:t>
      </w:r>
      <w:r w:rsidR="00C41ECF" w:rsidRPr="00A34CD9">
        <w:rPr>
          <w:rFonts w:cstheme="minorHAnsi"/>
          <w:lang w:val="en-GB"/>
        </w:rPr>
        <w:t xml:space="preserve"> Fourth, </w:t>
      </w:r>
      <w:r w:rsidR="00BB1E09" w:rsidRPr="00A34CD9">
        <w:rPr>
          <w:rFonts w:cstheme="minorHAnsi"/>
          <w:lang w:val="en-GB"/>
        </w:rPr>
        <w:t xml:space="preserve">we used a vessel speed range to discriminate between fishing and non-fishing activity. Thus, all the records with speeds included within the range of 6-7 knots for LTL and of 0-3 knots for LHP were considered fishing effort </w:t>
      </w:r>
      <w:r w:rsidR="00BB1E09" w:rsidRPr="00A34CD9">
        <w:rPr>
          <w:rFonts w:cstheme="minorHAnsi"/>
          <w:lang w:val="en-GB"/>
        </w:rPr>
        <w:fldChar w:fldCharType="begin" w:fldLock="1"/>
      </w:r>
      <w:r w:rsidR="00BB1E09" w:rsidRPr="00A34CD9">
        <w:rPr>
          <w:rFonts w:cstheme="minorHAnsi"/>
          <w:lang w:val="en-GB"/>
        </w:rPr>
        <w:instrText>ADDIN CSL_CITATION {"citationItems":[{"id":"ITEM-1","itemData":{"ISBN":"9789251319642","author":[{"dropping-particle":"","family":"Fernandes","given":"J. A.","non-dropping-particle":"","parse-names":false,"suffix":""},{"dropping-particle":"","family":"Granado","given":"I.","non-dropping-particle":"","parse-names":false,"suffix":""},{"dropping-particle":"","family":"Murua","given":"H.","non-dropping-particle":"","parse-names":false,"suffix":""},{"dropping-particle":"","family":"Arrizabalaga","given":"H.","non-dropping-particle":"","parse-names":false,"suffix":""},{"dropping-particle":"","family":"Zarauz","given":"L.","non-dropping-particle":"","parse-names":false,"suffix":""},{"dropping-particle":"","family":"Mugerza","given":"E.","non-dropping-particle":"","parse-names":false,"suffix":""},{"dropping-particle":"","family":"Arregi","given":"I.","non-dropping-particle":"","parse-names":false,"suffix":""},{"dropping-particle":"","family":"Galparsoro","given":"I.","non-dropping-particle":"","parse-names":false,"suffix":""},{"dropping-particle":"","family":"Murua","given":"J.","non-dropping-particle":"","parse-names":false,"suffix":""},{"dropping-particle":"","family":"Iriondo","given":"A.","non-dropping-particle":"","parse-names":false,"suffix":""},{"dropping-particle":"","family":"Basurko","given":"O.","non-dropping-particle":"","parse-names":false,"suffix":""},{"dropping-particle":"","family":"Quincoces","given":"I.","non-dropping-particle":"","parse-names":false,"suffix":""},{"dropping-particle":"","family":"Santiago","given":"J.","non-dropping-particle":"","parse-names":false,"suffix":""},{"dropping-particle":"","family":"Irigoien","given":"X.","non-dropping-particle":"","parse-names":false,"suffix":""}],"container-title":"Global Atlas of AIS-based fishing activity - Challenges and opportuni- ties. Rome, FAO.","editor":[{"dropping-particle":"","family":"Taconet","given":"M.","non-dropping-particle":"","parse-names":false,"suffix":""},{"dropping-particle":"","family":"Kroodsma","given":"D.","non-dropping-particle":"","parse-names":false,"suffix":""},{"dropping-particle":"","family":"Fernandes","given":"J. A.","non-dropping-particle":"","parse-names":false,"suffix":""}],"id":"ITEM-1","issued":{"date-parts":[["2019"]]},"publisher":"FAO","publisher-place":"Rome","title":"Bay of Biscay VMS/logbook comparison (FAO Subarea 27.8)","type":"chapter"},"uris":["http://www.mendeley.com/documents/?uuid=ca1bf559-ae2f-448e-b8ef-ba7f479c2c5f"]}],"mendeley":{"formattedCitation":"(Fernandes &lt;i&gt;et al.&lt;/i&gt;, 2019)","plainTextFormattedCitation":"(Fernandes et al., 2019)","previouslyFormattedCitation":"(Fernandes &lt;i&gt;et al.&lt;/i&gt;, 2019)"},"properties":{"noteIndex":0},"schema":"https://github.com/citation-style-language/schema/raw/master/csl-citation.json"}</w:instrText>
      </w:r>
      <w:r w:rsidR="00BB1E09" w:rsidRPr="00A34CD9">
        <w:rPr>
          <w:rFonts w:cstheme="minorHAnsi"/>
          <w:lang w:val="en-GB"/>
        </w:rPr>
        <w:fldChar w:fldCharType="separate"/>
      </w:r>
      <w:r w:rsidR="00BB1E09" w:rsidRPr="00A34CD9">
        <w:rPr>
          <w:rFonts w:cstheme="minorHAnsi"/>
          <w:noProof/>
          <w:lang w:val="en-GB"/>
        </w:rPr>
        <w:t xml:space="preserve">(Fernandes </w:t>
      </w:r>
      <w:r w:rsidR="00BB1E09" w:rsidRPr="00A34CD9">
        <w:rPr>
          <w:rFonts w:cstheme="minorHAnsi"/>
          <w:i/>
          <w:noProof/>
          <w:lang w:val="en-GB"/>
        </w:rPr>
        <w:t>et al.</w:t>
      </w:r>
      <w:r w:rsidR="00BB1E09" w:rsidRPr="00A34CD9">
        <w:rPr>
          <w:rFonts w:cstheme="minorHAnsi"/>
          <w:noProof/>
          <w:lang w:val="en-GB"/>
        </w:rPr>
        <w:t>, 2019)</w:t>
      </w:r>
      <w:r w:rsidR="00BB1E09" w:rsidRPr="00A34CD9">
        <w:rPr>
          <w:rFonts w:cstheme="minorHAnsi"/>
          <w:lang w:val="en-GB"/>
        </w:rPr>
        <w:fldChar w:fldCharType="end"/>
      </w:r>
      <w:r w:rsidR="00BB1E09" w:rsidRPr="00A34CD9">
        <w:rPr>
          <w:rFonts w:cstheme="minorHAnsi"/>
          <w:lang w:val="en-GB"/>
        </w:rPr>
        <w:t>.</w:t>
      </w:r>
      <w:r w:rsidR="00B37EC4" w:rsidRPr="00A34CD9">
        <w:rPr>
          <w:rFonts w:cstheme="minorHAnsi"/>
          <w:lang w:val="en-GB"/>
        </w:rPr>
        <w:t xml:space="preserve"> </w:t>
      </w:r>
      <w:r w:rsidR="00527287" w:rsidRPr="00A34CD9">
        <w:rPr>
          <w:rFonts w:cstheme="minorHAnsi"/>
          <w:lang w:val="en-GB"/>
        </w:rPr>
        <w:t>T</w:t>
      </w:r>
      <w:r w:rsidR="0057113D" w:rsidRPr="00A34CD9">
        <w:rPr>
          <w:rFonts w:cstheme="minorHAnsi"/>
          <w:lang w:val="en-GB"/>
        </w:rPr>
        <w:t>he fishing effort</w:t>
      </w:r>
      <w:r w:rsidR="002433D4" w:rsidRPr="00A34CD9">
        <w:rPr>
          <w:rFonts w:cstheme="minorHAnsi"/>
          <w:lang w:val="en-GB"/>
        </w:rPr>
        <w:t xml:space="preserve"> in hours</w:t>
      </w:r>
      <w:r w:rsidR="000C71F2" w:rsidRPr="00A34CD9">
        <w:rPr>
          <w:rFonts w:cstheme="minorHAnsi"/>
          <w:lang w:val="en-GB"/>
        </w:rPr>
        <w:t xml:space="preserve"> </w:t>
      </w:r>
      <w:r w:rsidR="0057113D" w:rsidRPr="00A34CD9">
        <w:rPr>
          <w:rFonts w:cstheme="minorHAnsi"/>
          <w:lang w:val="en-GB"/>
        </w:rPr>
        <w:t xml:space="preserve">obtained for each </w:t>
      </w:r>
      <w:r w:rsidR="00D5010E">
        <w:rPr>
          <w:rFonts w:cstheme="minorHAnsi"/>
          <w:lang w:val="en-GB"/>
        </w:rPr>
        <w:t>metier</w:t>
      </w:r>
      <w:r w:rsidR="00527287" w:rsidRPr="00A34CD9">
        <w:rPr>
          <w:rFonts w:cstheme="minorHAnsi"/>
          <w:lang w:val="en-GB"/>
        </w:rPr>
        <w:t xml:space="preserve">, </w:t>
      </w:r>
      <w:r w:rsidR="0057113D" w:rsidRPr="00A34CD9">
        <w:rPr>
          <w:rFonts w:cstheme="minorHAnsi"/>
          <w:lang w:val="en-GB"/>
        </w:rPr>
        <w:t xml:space="preserve">month and year were overlaid over a </w:t>
      </w:r>
      <w:r w:rsidR="00CB0730" w:rsidRPr="00A34CD9">
        <w:rPr>
          <w:rFonts w:cstheme="minorHAnsi"/>
          <w:lang w:val="en-GB"/>
        </w:rPr>
        <w:t xml:space="preserve">regular </w:t>
      </w:r>
      <w:r w:rsidR="0057113D" w:rsidRPr="00A34CD9">
        <w:rPr>
          <w:rFonts w:cstheme="minorHAnsi"/>
          <w:lang w:val="en-GB"/>
        </w:rPr>
        <w:t>grid</w:t>
      </w:r>
      <w:r w:rsidR="00CB0730" w:rsidRPr="00A34CD9">
        <w:rPr>
          <w:rFonts w:cstheme="minorHAnsi"/>
          <w:lang w:val="en-GB"/>
        </w:rPr>
        <w:t xml:space="preserve"> of </w:t>
      </w:r>
      <w:r w:rsidR="00861C65" w:rsidRPr="00A34CD9">
        <w:rPr>
          <w:rFonts w:cstheme="minorHAnsi"/>
          <w:lang w:val="en-GB"/>
        </w:rPr>
        <w:t>0.1</w:t>
      </w:r>
      <w:r w:rsidR="008C5719" w:rsidRPr="00A34CD9">
        <w:rPr>
          <w:rFonts w:cstheme="minorHAnsi"/>
          <w:lang w:val="en-GB"/>
        </w:rPr>
        <w:t xml:space="preserve">x0.1˚ </w:t>
      </w:r>
      <w:r w:rsidR="0057113D" w:rsidRPr="00A34CD9">
        <w:rPr>
          <w:rFonts w:cstheme="minorHAnsi"/>
          <w:lang w:val="en-GB"/>
        </w:rPr>
        <w:t xml:space="preserve">to obtain the same spatial resolution as </w:t>
      </w:r>
      <w:r w:rsidR="00861CE4" w:rsidRPr="00A34CD9">
        <w:rPr>
          <w:rFonts w:cstheme="minorHAnsi"/>
          <w:lang w:val="en-GB"/>
        </w:rPr>
        <w:t xml:space="preserve">great shearwater </w:t>
      </w:r>
      <w:r w:rsidR="0057113D" w:rsidRPr="00A34CD9">
        <w:rPr>
          <w:rFonts w:cstheme="minorHAnsi"/>
          <w:lang w:val="en-GB"/>
        </w:rPr>
        <w:t xml:space="preserve">spatial density predictions. </w:t>
      </w:r>
      <w:r w:rsidR="00527287" w:rsidRPr="00A34CD9">
        <w:rPr>
          <w:rFonts w:cstheme="minorHAnsi"/>
          <w:lang w:val="en-GB"/>
        </w:rPr>
        <w:t>F</w:t>
      </w:r>
      <w:r w:rsidR="00701CC4" w:rsidRPr="00A34CD9">
        <w:rPr>
          <w:rFonts w:cstheme="minorHAnsi"/>
          <w:lang w:val="en-GB"/>
        </w:rPr>
        <w:t>inally</w:t>
      </w:r>
      <w:r w:rsidR="00527287" w:rsidRPr="00A34CD9">
        <w:rPr>
          <w:rFonts w:cstheme="minorHAnsi"/>
          <w:lang w:val="en-GB"/>
        </w:rPr>
        <w:t>, w</w:t>
      </w:r>
      <w:r w:rsidR="00833AB6" w:rsidRPr="00A34CD9">
        <w:rPr>
          <w:rFonts w:cstheme="minorHAnsi"/>
          <w:lang w:val="en-GB"/>
        </w:rPr>
        <w:t xml:space="preserve">e explored the fishing </w:t>
      </w:r>
      <w:r w:rsidR="00AD2320" w:rsidRPr="00A34CD9">
        <w:rPr>
          <w:rFonts w:cstheme="minorHAnsi"/>
          <w:lang w:val="en-GB"/>
        </w:rPr>
        <w:t>effort</w:t>
      </w:r>
      <w:r w:rsidR="00833AB6" w:rsidRPr="00A34CD9">
        <w:rPr>
          <w:rFonts w:cstheme="minorHAnsi"/>
          <w:lang w:val="en-GB"/>
        </w:rPr>
        <w:t xml:space="preserve"> performed</w:t>
      </w:r>
      <w:r w:rsidR="00527287" w:rsidRPr="00A34CD9">
        <w:rPr>
          <w:rFonts w:cstheme="minorHAnsi"/>
          <w:lang w:val="en-GB"/>
        </w:rPr>
        <w:t xml:space="preserve"> </w:t>
      </w:r>
      <w:r w:rsidR="0000469E" w:rsidRPr="00A34CD9">
        <w:rPr>
          <w:rFonts w:cstheme="minorHAnsi"/>
          <w:lang w:val="en-GB"/>
        </w:rPr>
        <w:t>by</w:t>
      </w:r>
      <w:r w:rsidR="00527287" w:rsidRPr="00A34CD9">
        <w:rPr>
          <w:rFonts w:cstheme="minorHAnsi"/>
          <w:lang w:val="en-GB"/>
        </w:rPr>
        <w:t xml:space="preserve"> </w:t>
      </w:r>
      <w:r w:rsidR="00CE7601" w:rsidRPr="00A34CD9">
        <w:rPr>
          <w:rFonts w:cstheme="minorHAnsi"/>
          <w:lang w:val="en-GB"/>
        </w:rPr>
        <w:t>metier</w:t>
      </w:r>
      <w:r w:rsidR="00833AB6" w:rsidRPr="00A34CD9">
        <w:rPr>
          <w:rFonts w:cstheme="minorHAnsi"/>
          <w:lang w:val="en-GB"/>
        </w:rPr>
        <w:t xml:space="preserve"> during </w:t>
      </w:r>
      <w:r w:rsidR="00AD0CC9" w:rsidRPr="00A34CD9">
        <w:rPr>
          <w:rFonts w:cstheme="minorHAnsi"/>
          <w:lang w:val="en-GB"/>
        </w:rPr>
        <w:t>the time-series</w:t>
      </w:r>
      <w:r w:rsidR="0000469E" w:rsidRPr="00A34CD9">
        <w:rPr>
          <w:rFonts w:cstheme="minorHAnsi"/>
          <w:lang w:val="en-GB"/>
        </w:rPr>
        <w:t xml:space="preserve"> 2013-2019</w:t>
      </w:r>
      <w:r w:rsidR="00696AAB" w:rsidRPr="00A34CD9">
        <w:rPr>
          <w:rFonts w:cstheme="minorHAnsi"/>
          <w:lang w:val="en-GB"/>
        </w:rPr>
        <w:t xml:space="preserve"> to select those months when the effort was higher.</w:t>
      </w:r>
    </w:p>
    <w:p w14:paraId="1A246F37" w14:textId="67682369" w:rsidR="00FC0C94" w:rsidRPr="00A34CD9" w:rsidRDefault="007C353A" w:rsidP="002A528E">
      <w:pPr>
        <w:pStyle w:val="Prrafodelista"/>
        <w:numPr>
          <w:ilvl w:val="1"/>
          <w:numId w:val="3"/>
        </w:numPr>
        <w:suppressLineNumbers/>
        <w:spacing w:line="480" w:lineRule="auto"/>
        <w:outlineLvl w:val="1"/>
        <w:rPr>
          <w:rFonts w:cstheme="minorHAnsi"/>
          <w:b/>
          <w:bCs/>
          <w:sz w:val="24"/>
          <w:szCs w:val="24"/>
          <w:lang w:val="en-GB"/>
        </w:rPr>
      </w:pPr>
      <w:r w:rsidRPr="00A34CD9">
        <w:rPr>
          <w:rFonts w:cstheme="minorHAnsi"/>
          <w:b/>
          <w:bCs/>
          <w:sz w:val="24"/>
          <w:szCs w:val="24"/>
          <w:lang w:val="en-GB"/>
        </w:rPr>
        <w:t>Ecological</w:t>
      </w:r>
      <w:r w:rsidR="005E7C94" w:rsidRPr="00A34CD9">
        <w:rPr>
          <w:rFonts w:cstheme="minorHAnsi"/>
          <w:b/>
          <w:bCs/>
          <w:sz w:val="24"/>
          <w:szCs w:val="24"/>
          <w:lang w:val="en-GB"/>
        </w:rPr>
        <w:t xml:space="preserve"> risk </w:t>
      </w:r>
      <w:r w:rsidR="008545B1" w:rsidRPr="00A34CD9">
        <w:rPr>
          <w:rFonts w:cstheme="minorHAnsi"/>
          <w:b/>
          <w:bCs/>
          <w:sz w:val="24"/>
          <w:szCs w:val="24"/>
          <w:lang w:val="en-GB"/>
        </w:rPr>
        <w:t>assessment</w:t>
      </w:r>
    </w:p>
    <w:p w14:paraId="5E18EBE0" w14:textId="05C23DAD" w:rsidR="00422FA2" w:rsidRPr="00A34CD9" w:rsidRDefault="00CB6526" w:rsidP="002A528E">
      <w:pPr>
        <w:suppressLineNumbers/>
        <w:spacing w:line="480" w:lineRule="auto"/>
        <w:jc w:val="both"/>
        <w:rPr>
          <w:rFonts w:cstheme="minorHAnsi"/>
          <w:lang w:val="en-GB"/>
        </w:rPr>
      </w:pPr>
      <w:r w:rsidRPr="00A34CD9">
        <w:rPr>
          <w:rFonts w:cstheme="minorHAnsi"/>
          <w:lang w:val="en-GB"/>
        </w:rPr>
        <w:t xml:space="preserve">The potential risk to great shearwaters from direct interaction with </w:t>
      </w:r>
      <w:r w:rsidR="00D5010E">
        <w:rPr>
          <w:rFonts w:cstheme="minorHAnsi"/>
          <w:lang w:val="en-GB"/>
        </w:rPr>
        <w:t>the</w:t>
      </w:r>
      <w:r w:rsidRPr="00A34CD9">
        <w:rPr>
          <w:rFonts w:cstheme="minorHAnsi"/>
          <w:lang w:val="en-GB"/>
        </w:rPr>
        <w:t xml:space="preserve"> metiers of the artisanal tuna fishing fleet was assessed using a</w:t>
      </w:r>
      <w:r w:rsidR="00BA1F8B" w:rsidRPr="00A34CD9">
        <w:rPr>
          <w:rFonts w:cstheme="minorHAnsi"/>
          <w:lang w:val="en-GB"/>
        </w:rPr>
        <w:t>n</w:t>
      </w:r>
      <w:r w:rsidRPr="00A34CD9">
        <w:rPr>
          <w:rFonts w:cstheme="minorHAnsi"/>
          <w:lang w:val="en-GB"/>
        </w:rPr>
        <w:t xml:space="preserve"> </w:t>
      </w:r>
      <w:r w:rsidR="00BA1F8B" w:rsidRPr="00A34CD9">
        <w:rPr>
          <w:rFonts w:cstheme="minorHAnsi"/>
          <w:lang w:val="en-GB"/>
        </w:rPr>
        <w:t xml:space="preserve">explicit </w:t>
      </w:r>
      <w:proofErr w:type="spellStart"/>
      <w:r w:rsidR="00BA1F8B" w:rsidRPr="00A34CD9">
        <w:rPr>
          <w:rFonts w:cstheme="minorHAnsi"/>
          <w:lang w:val="en-GB"/>
        </w:rPr>
        <w:t>spatio</w:t>
      </w:r>
      <w:proofErr w:type="spellEnd"/>
      <w:r w:rsidR="00BA1F8B" w:rsidRPr="00A34CD9">
        <w:rPr>
          <w:rFonts w:cstheme="minorHAnsi"/>
          <w:lang w:val="en-GB"/>
        </w:rPr>
        <w:t xml:space="preserve">-temporal </w:t>
      </w:r>
      <w:r w:rsidRPr="00A34CD9">
        <w:rPr>
          <w:rFonts w:cstheme="minorHAnsi"/>
          <w:lang w:val="en-GB"/>
        </w:rPr>
        <w:t xml:space="preserve">procedure based on a </w:t>
      </w:r>
      <w:r w:rsidR="00506970" w:rsidRPr="00A34CD9">
        <w:rPr>
          <w:rFonts w:cstheme="minorHAnsi"/>
          <w:lang w:val="en-GB"/>
        </w:rPr>
        <w:t>Productivity</w:t>
      </w:r>
      <w:r w:rsidR="00505FCD" w:rsidRPr="00A34CD9">
        <w:rPr>
          <w:rFonts w:cstheme="minorHAnsi"/>
          <w:lang w:val="en-GB"/>
        </w:rPr>
        <w:t>-</w:t>
      </w:r>
      <w:r w:rsidR="00506970" w:rsidRPr="00A34CD9">
        <w:rPr>
          <w:rFonts w:cstheme="minorHAnsi"/>
          <w:lang w:val="en-GB"/>
        </w:rPr>
        <w:t>Susceptibility Analysis (</w:t>
      </w:r>
      <w:r w:rsidRPr="00A34CD9">
        <w:rPr>
          <w:rFonts w:cstheme="minorHAnsi"/>
          <w:lang w:val="en-GB"/>
        </w:rPr>
        <w:t>PSA</w:t>
      </w:r>
      <w:r w:rsidR="00506970" w:rsidRPr="00A34CD9">
        <w:rPr>
          <w:rFonts w:cstheme="minorHAnsi"/>
          <w:lang w:val="en-GB"/>
        </w:rPr>
        <w:t xml:space="preserve">) </w:t>
      </w:r>
      <w:r w:rsidR="00506970" w:rsidRPr="00A34CD9">
        <w:rPr>
          <w:rFonts w:cstheme="minorHAnsi"/>
          <w:lang w:val="en-GB"/>
        </w:rPr>
        <w:fldChar w:fldCharType="begin" w:fldLock="1"/>
      </w:r>
      <w:r w:rsidR="004421AD" w:rsidRPr="00A34CD9">
        <w:rPr>
          <w:rFonts w:cstheme="minorHAnsi"/>
          <w:lang w:val="en-GB"/>
        </w:rPr>
        <w:instrText>ADDIN CSL_CITATION {"citationItems":[{"id":"ITEM-1","itemData":{"DOI":"10.1016/j.fishres.2011.01.013","ISSN":"01657836","abstract":"Management of fisheries around the world is challenged by fishing impacts on habitats, bycatch species, threatened and endangered species, and even associated ecological communities. One response to these other factors has been a call for ecosystem-based fisheries management (EBFM), which demands consideration of the above non-target interactions. A challenge with implementation of EBFM is the scale and range of issues to be considered, all of which cannot be addressed at the same level of detail as for target species, due to data or time constraints. We developed an approach to progress the EBFM mandate in Australia, using a new ecological risk assessment framework applied to fisheries, termed Ecological Risk Assessment for the Effects of Fishing (ERAEF). Novel features of this framework include its hierarchical structure and its precautionary approach to uncertainty. The amount of information required increases through the hierarchy, and allows application in data-limited situations. The ERAEF framework has been applied to over 30 fisheries in Australia and elsewhere. The efficiencies in application of the hierarchical approach are illustrated by the south-east otter trawl fishery, where following Level 1 assessment of all components, an initial set of 600 species and 158 habitats was reduced to a group of concern of 159 species and 46 habitats using the Level 2 analysis, with the number of species of concern further reduced to 25 following Level 3 analysis. As a result of the assessments in Australia, management actions have been enacted for a range of the high risk species. Overall, the ERAEF approach offers a realistic method to assess ecological risk in an EBFM context, and has applicability in a wide range of fisheries. The interactive and inclusive nature of the approach also has the advantage of bringing stakeholders, scientists and managers together to develop management solutions. © 2011.","author":[{"dropping-particle":"","family":"Hobday","given":"A. J.","non-dropping-particle":"","parse-names":false,"suffix":""},{"dropping-particle":"","family":"Smith","given":"A. D.M.","non-dropping-particle":"","parse-names":false,"suffix":""},{"dropping-particle":"","family":"Stobutzki","given":"I. C.","non-dropping-particle":"","parse-names":false,"suffix":""},{"dropping-particle":"","family":"Bulman","given":"C.","non-dropping-particle":"","parse-names":false,"suffix":""},{"dropping-particle":"","family":"Daley","given":"R.","non-dropping-particle":"","parse-names":false,"suffix":""},{"dropping-particle":"","family":"Dambacher","given":"J. M.","non-dropping-particle":"","parse-names":false,"suffix":""},{"dropping-particle":"","family":"Deng","given":"R. A.","non-dropping-particle":"","parse-names":false,"suffix":""},{"dropping-particle":"","family":"Dowdney","given":"J.","non-dropping-particle":"","parse-names":false,"suffix":""},{"dropping-particle":"","family":"Fuller","given":"M.","non-dropping-particle":"","parse-names":false,"suffix":""},{"dropping-particle":"","family":"Furlani","given":"D.","non-dropping-particle":"","parse-names":false,"suffix":""},{"dropping-particle":"","family":"Griffiths","given":"S. P.","non-dropping-particle":"","parse-names":false,"suffix":""},{"dropping-particle":"","family":"Johnson","given":"D.","non-dropping-particle":"","parse-names":false,"suffix":""},{"dropping-particle":"","family":"Kenyon","given":"R.","non-dropping-particle":"","parse-names":false,"suffix":""},{"dropping-particle":"","family":"Knuckey","given":"I. A.","non-dropping-particle":"","parse-names":false,"suffix":""},{"dropping-particle":"","family":"Ling","given":"S. D.","non-dropping-particle":"","parse-names":false,"suffix":""},{"dropping-particle":"","family":"Pitcher","given":"R.","non-dropping-particle":"","parse-names":false,"suffix":""},{"dropping-particle":"","family":"Sainsbury","given":"K. J.","non-dropping-particle":"","parse-names":false,"suffix":""},{"dropping-particle":"","family":"Sporcic","given":"M.","non-dropping-particle":"","parse-names":false,"suffix":""},{"dropping-particle":"","family":"Smith","given":"T.","non-dropping-particle":"","parse-names":false,"suffix":""},{"dropping-particle":"","family":"Turnbull","given":"C.","non-dropping-particle":"","parse-names":false,"suffix":""},{"dropping-particle":"","family":"Walker","given":"T. I.","non-dropping-particle":"","parse-names":false,"suffix":""},{"dropping-particle":"","family":"Wayte","given":"S. E.","non-dropping-particle":"","parse-names":false,"suffix":""},{"dropping-particle":"","family":"Webb","given":"H.","non-dropping-particle":"","parse-names":false,"suffix":""},{"dropping-particle":"","family":"Williams","given":"A.","non-dropping-particle":"","parse-names":false,"suffix":""},{"dropping-particle":"","family":"Wise","given":"B. S.","non-dropping-particle":"","parse-names":false,"suffix":""},{"dropping-particle":"","family":"Zhou","given":"S.","non-dropping-particle":"","parse-names":false,"suffix":""}],"container-title":"Fisheries Research","id":"ITEM-1","issue":"2-3","issued":{"date-parts":[["2011"]]},"page":"372-384","title":"Ecological risk assessment for the effects of fishing","type":"article-journal","volume":"108"},"uris":["http://www.mendeley.com/documents/?uuid=f815ce5e-5322-4a5a-a062-e12a288309d8"]},{"id":"ITEM-2","itemData":{"DOI":"10.1016/j.marpol.2011.11.005","ISSN":"0308597X","abstract":"The risk of seabird-fishery interactions in the Western and Central Pacific Ocean (WCPO) was examined by analysing the overlap of seabird distributions with tuna and swordfish pelagic longline fisheries managed by the Western and Central Pacific Fisheries Commission (WCPFC) and its constituent members. The study used spatially-explicit Productivity-Susceptibility Analysis (PSA). Key data inputs were species productivity, fishing effort, likelihood of capture and species density by region. The outputs tailored results to the needs of fisheries- and wildlife-managers, indicating areas of greatest risk of species interactions, species of greatest concern for population impacts, and the flags or fisheries most likely to contribute to the risk. Large albatross species were found to be most likely to suffer population effects when exposed to longline fishing activity, followed by the larger petrels from the genuses Procellaria, Macronectes and Pterodroma. A mixture of coastal states with nesting seabird populations in their Exclusive Economic Zones (New Zealand, Australia and United States of America), distant water fishing nations (Japan, Taiwan) and flags of convenience (Vanuatu) contributed 90% of the risk to seabird populations. Recommendations include enhancing the level of fisheries observer monitoring in areas indicated as high to medium risk for seabird interactions, and consideration of spatial management tools, such as more intensive or more stringent seabird bycatch mitigation requirements in high- to medium-risk areas. The methods used, and similar studies conducted in the Atlantic Ocean could lead to improved targeting of monitoring resources, and greater specificity in the needs for seabird-mitigation measures. This will assist in reducing seabird mortality in longline fishing operations and with more effective use of resources for fishery managers in both domestic fisheries and RFMOs. © 2011 Elsevier Ltd.","author":[{"dropping-particle":"","family":"Waugh","given":"Susan M.","non-dropping-particle":"","parse-names":false,"suffix":""},{"dropping-particle":"","family":"Filippi","given":"Dominique P.","non-dropping-particle":"","parse-names":false,"suffix":""},{"dropping-particle":"","family":"Kirby","given":"David S.","non-dropping-particle":"","parse-names":false,"suffix":""},{"dropping-particle":"","family":"Abraham","given":"Edward","non-dropping-particle":"","parse-names":false,"suffix":""},{"dropping-particle":"","family":"Walker","given":"Nathan","non-dropping-particle":"","parse-names":false,"suffix":""}],"container-title":"Marine Policy","id":"ITEM-2","issue":"4","issued":{"date-parts":[["2012"]]},"page":"933-946","publisher":"Elsevier","title":"Ecological Risk Assessment for seabird interactions in Western and Central Pacific longline fisheries","type":"article-journal","volume":"36"},"uris":["http://www.mendeley.com/documents/?uuid=c466b1f0-c00a-4954-b46d-902bfd01c883"]},{"id":"ITEM-3","itemData":{"DOI":"10.1093/icesjms/fsr118","author":[{"dropping-particle":"","family":"Tuck","given":"G N","non-dropping-particle":"","parse-names":false,"suffix":""},{"dropping-particle":"","family":"Phillips","given":"R a","non-dropping-particle":"","parse-names":false,"suffix":""},{"dropping-particle":"","family":"Small","given":"C","non-dropping-particle":"","parse-names":false,"suffix":""},{"dropping-particle":"","family":"Thomson","given":"R B","non-dropping-particle":"","parse-names":false,"suffix":""},{"dropping-particle":"","family":"Klaer","given":"N L","non-dropping-particle":"","parse-names":false,"suffix":""},{"dropping-particle":"","family":"Taylor","given":"F","non-dropping-particle":"","parse-names":false,"suffix":""},{"dropping-particle":"","family":"Wanless","given":"R M","non-dropping-particle":"","parse-names":false,"suffix":""},{"dropping-particle":"","family":"Arrizabalaga","given":"H","non-dropping-particle":"","parse-names":false,"suffix":""}],"id":"ITEM-3","issued":{"date-parts":[["2011"]]},"page":"1628-1637","title":"An assessment of seabird – fishery interactions in the Atlantic Ocean","type":"article-journal","volume":"68"},"uris":["http://www.mendeley.com/documents/?uuid=0abbf42f-57b6-4a5d-a172-78315c817b4b"]},{"id":"ITEM-4","itemData":{"DOI":"10.1016/j.marpol.2014.09.009","ISSN":"0308-597X","author":[{"dropping-particle":"","family":"Brown","given":"Susie L","non-dropping-particle":"","parse-names":false,"suffix":""},{"dropping-particle":"","family":"Reid","given":"David","non-dropping-particle":"","parse-names":false,"suffix":""},{"dropping-particle":"","family":"Rogan","given":"Emer","non-dropping-particle":"","parse-names":false,"suffix":""}],"container-title":"Marine Policy","id":"ITEM-4","issued":{"date-parts":[["2015"]]},"page":"267-280","publisher":"Elsevier","title":"Spatial and temporal assessment of potential risk to cetaceans from static fishing gears","type":"article-journal","volume":"51"},"uris":["http://www.mendeley.com/documents/?uuid=4d7951e0-04cf-4f5f-945c-185f5afd0ae0"]}],"mendeley":{"formattedCitation":"(Hobday &lt;i&gt;et al.&lt;/i&gt;, 2011; Tuck &lt;i&gt;et al.&lt;/i&gt;, 2011; Waugh &lt;i&gt;et al.&lt;/i&gt;, 2012; Brown &lt;i&gt;et al.&lt;/i&gt;, 2015)","plainTextFormattedCitation":"(Hobday et al., 2011; Tuck et al., 2011; Waugh et al., 2012; Brown et al., 2015)","previouslyFormattedCitation":"(Hobday &lt;i&gt;et al.&lt;/i&gt;, 2011; Tuck &lt;i&gt;et al.&lt;/i&gt;, 2011; Waugh &lt;i&gt;et al.&lt;/i&gt;, 2012; Brown &lt;i&gt;et al.&lt;/i&gt;, 2015)"},"properties":{"noteIndex":0},"schema":"https://github.com/citation-style-language/schema/raw/master/csl-citation.json"}</w:instrText>
      </w:r>
      <w:r w:rsidR="00506970" w:rsidRPr="00A34CD9">
        <w:rPr>
          <w:rFonts w:cstheme="minorHAnsi"/>
          <w:lang w:val="en-GB"/>
        </w:rPr>
        <w:fldChar w:fldCharType="separate"/>
      </w:r>
      <w:r w:rsidR="00506970" w:rsidRPr="00A34CD9">
        <w:rPr>
          <w:rFonts w:cstheme="minorHAnsi"/>
          <w:noProof/>
          <w:lang w:val="en-GB"/>
        </w:rPr>
        <w:t xml:space="preserve">(Hobday </w:t>
      </w:r>
      <w:r w:rsidR="00506970" w:rsidRPr="00A34CD9">
        <w:rPr>
          <w:rFonts w:cstheme="minorHAnsi"/>
          <w:i/>
          <w:noProof/>
          <w:lang w:val="en-GB"/>
        </w:rPr>
        <w:t>et al.</w:t>
      </w:r>
      <w:r w:rsidR="00506970" w:rsidRPr="00A34CD9">
        <w:rPr>
          <w:rFonts w:cstheme="minorHAnsi"/>
          <w:noProof/>
          <w:lang w:val="en-GB"/>
        </w:rPr>
        <w:t xml:space="preserve">, 2011; Tuck </w:t>
      </w:r>
      <w:r w:rsidR="00506970" w:rsidRPr="00A34CD9">
        <w:rPr>
          <w:rFonts w:cstheme="minorHAnsi"/>
          <w:i/>
          <w:noProof/>
          <w:lang w:val="en-GB"/>
        </w:rPr>
        <w:t>et al.</w:t>
      </w:r>
      <w:r w:rsidR="00506970" w:rsidRPr="00A34CD9">
        <w:rPr>
          <w:rFonts w:cstheme="minorHAnsi"/>
          <w:noProof/>
          <w:lang w:val="en-GB"/>
        </w:rPr>
        <w:t xml:space="preserve">, 2011; Waugh </w:t>
      </w:r>
      <w:r w:rsidR="00506970" w:rsidRPr="00A34CD9">
        <w:rPr>
          <w:rFonts w:cstheme="minorHAnsi"/>
          <w:i/>
          <w:noProof/>
          <w:lang w:val="en-GB"/>
        </w:rPr>
        <w:t>et al.</w:t>
      </w:r>
      <w:r w:rsidR="00506970" w:rsidRPr="00A34CD9">
        <w:rPr>
          <w:rFonts w:cstheme="minorHAnsi"/>
          <w:noProof/>
          <w:lang w:val="en-GB"/>
        </w:rPr>
        <w:t xml:space="preserve">, 2012; Brown </w:t>
      </w:r>
      <w:r w:rsidR="00506970" w:rsidRPr="00A34CD9">
        <w:rPr>
          <w:rFonts w:cstheme="minorHAnsi"/>
          <w:i/>
          <w:noProof/>
          <w:lang w:val="en-GB"/>
        </w:rPr>
        <w:t>et al.</w:t>
      </w:r>
      <w:r w:rsidR="00506970" w:rsidRPr="00A34CD9">
        <w:rPr>
          <w:rFonts w:cstheme="minorHAnsi"/>
          <w:noProof/>
          <w:lang w:val="en-GB"/>
        </w:rPr>
        <w:t>, 2015)</w:t>
      </w:r>
      <w:r w:rsidR="00506970" w:rsidRPr="00A34CD9">
        <w:rPr>
          <w:rFonts w:cstheme="minorHAnsi"/>
          <w:lang w:val="en-GB"/>
        </w:rPr>
        <w:fldChar w:fldCharType="end"/>
      </w:r>
      <w:r w:rsidR="00137C80" w:rsidRPr="00A34CD9">
        <w:rPr>
          <w:rFonts w:cstheme="minorHAnsi"/>
          <w:lang w:val="en-GB"/>
        </w:rPr>
        <w:t xml:space="preserve">. </w:t>
      </w:r>
      <w:r w:rsidR="006E4412" w:rsidRPr="00A34CD9">
        <w:rPr>
          <w:rFonts w:cstheme="minorHAnsi"/>
          <w:lang w:val="en-GB"/>
        </w:rPr>
        <w:t xml:space="preserve">This </w:t>
      </w:r>
      <w:r w:rsidR="00FE348D" w:rsidRPr="00A34CD9">
        <w:rPr>
          <w:rFonts w:cstheme="minorHAnsi"/>
          <w:lang w:val="en-GB"/>
        </w:rPr>
        <w:t>analysis</w:t>
      </w:r>
      <w:r w:rsidR="00354D45" w:rsidRPr="00A34CD9">
        <w:rPr>
          <w:rFonts w:cstheme="minorHAnsi"/>
          <w:lang w:val="en-GB"/>
        </w:rPr>
        <w:t xml:space="preserve"> </w:t>
      </w:r>
      <w:r w:rsidR="00A60753" w:rsidRPr="00A34CD9">
        <w:rPr>
          <w:rFonts w:cstheme="minorHAnsi"/>
          <w:lang w:val="en-GB"/>
        </w:rPr>
        <w:t>addresses</w:t>
      </w:r>
      <w:r w:rsidR="00EF362C" w:rsidRPr="00A34CD9">
        <w:rPr>
          <w:rFonts w:cstheme="minorHAnsi"/>
          <w:lang w:val="en-GB"/>
        </w:rPr>
        <w:t xml:space="preserve"> </w:t>
      </w:r>
      <w:r w:rsidR="00A60753" w:rsidRPr="00A34CD9">
        <w:rPr>
          <w:rFonts w:cstheme="minorHAnsi"/>
          <w:lang w:val="en-GB"/>
        </w:rPr>
        <w:t xml:space="preserve">the </w:t>
      </w:r>
      <w:r w:rsidR="00EF362C" w:rsidRPr="00A34CD9">
        <w:rPr>
          <w:rFonts w:cstheme="minorHAnsi"/>
          <w:lang w:val="en-GB"/>
        </w:rPr>
        <w:t>potential risk from direct interaction of a species by considering the</w:t>
      </w:r>
      <w:r w:rsidR="00A43AA4" w:rsidRPr="00A34CD9">
        <w:rPr>
          <w:rFonts w:cstheme="minorHAnsi"/>
          <w:lang w:val="en-GB"/>
        </w:rPr>
        <w:t xml:space="preserve"> species</w:t>
      </w:r>
      <w:r w:rsidR="00EF362C" w:rsidRPr="00A34CD9">
        <w:rPr>
          <w:rFonts w:cstheme="minorHAnsi"/>
          <w:lang w:val="en-GB"/>
        </w:rPr>
        <w:t xml:space="preserve"> productivity</w:t>
      </w:r>
      <w:r w:rsidR="00FD797F" w:rsidRPr="00A34CD9">
        <w:rPr>
          <w:rFonts w:cstheme="minorHAnsi"/>
          <w:lang w:val="en-GB"/>
        </w:rPr>
        <w:t xml:space="preserve"> </w:t>
      </w:r>
      <w:r w:rsidR="00A43AA4" w:rsidRPr="00A34CD9">
        <w:rPr>
          <w:rFonts w:cstheme="minorHAnsi"/>
          <w:lang w:val="en-GB"/>
        </w:rPr>
        <w:t>(</w:t>
      </w:r>
      <w:r w:rsidR="00EF362C" w:rsidRPr="00A34CD9">
        <w:rPr>
          <w:rFonts w:cstheme="minorHAnsi"/>
          <w:i/>
          <w:iCs/>
          <w:lang w:val="en-GB"/>
        </w:rPr>
        <w:t>i.e.,</w:t>
      </w:r>
      <w:r w:rsidR="00EF362C" w:rsidRPr="00A34CD9">
        <w:rPr>
          <w:rFonts w:cstheme="minorHAnsi"/>
          <w:lang w:val="en-GB"/>
        </w:rPr>
        <w:t xml:space="preserve"> detailed species-specific biological information</w:t>
      </w:r>
      <w:r w:rsidR="00A43AA4" w:rsidRPr="00A34CD9">
        <w:rPr>
          <w:rFonts w:cstheme="minorHAnsi"/>
          <w:lang w:val="en-GB"/>
        </w:rPr>
        <w:t>)</w:t>
      </w:r>
      <w:r w:rsidR="00EF362C" w:rsidRPr="00A34CD9">
        <w:rPr>
          <w:rFonts w:cstheme="minorHAnsi"/>
          <w:lang w:val="en-GB"/>
        </w:rPr>
        <w:t xml:space="preserve"> and </w:t>
      </w:r>
      <w:r w:rsidR="007C353A" w:rsidRPr="00A34CD9">
        <w:rPr>
          <w:rFonts w:cstheme="minorHAnsi"/>
          <w:lang w:val="en-GB"/>
        </w:rPr>
        <w:t xml:space="preserve">the </w:t>
      </w:r>
      <w:r w:rsidR="00EF362C" w:rsidRPr="00A34CD9">
        <w:rPr>
          <w:rFonts w:cstheme="minorHAnsi"/>
          <w:lang w:val="en-GB"/>
        </w:rPr>
        <w:t>fishery susceptibility</w:t>
      </w:r>
      <w:r w:rsidR="00FD797F" w:rsidRPr="00A34CD9">
        <w:rPr>
          <w:rFonts w:cstheme="minorHAnsi"/>
          <w:lang w:val="en-GB"/>
        </w:rPr>
        <w:t xml:space="preserve"> </w:t>
      </w:r>
      <w:r w:rsidR="00A43AA4" w:rsidRPr="00A34CD9">
        <w:rPr>
          <w:rFonts w:cstheme="minorHAnsi"/>
          <w:lang w:val="en-GB"/>
        </w:rPr>
        <w:t>(</w:t>
      </w:r>
      <w:r w:rsidR="00A43AA4" w:rsidRPr="00A34CD9">
        <w:rPr>
          <w:rFonts w:cstheme="minorHAnsi"/>
          <w:i/>
          <w:iCs/>
          <w:lang w:val="en-GB"/>
        </w:rPr>
        <w:t xml:space="preserve">i.e., </w:t>
      </w:r>
      <w:r w:rsidR="00A43AA4" w:rsidRPr="00A34CD9">
        <w:rPr>
          <w:rFonts w:cstheme="minorHAnsi"/>
          <w:lang w:val="en-GB"/>
        </w:rPr>
        <w:t>information on the interaction of fisheries and species)</w:t>
      </w:r>
      <w:r w:rsidR="00A43AA4" w:rsidRPr="00A34CD9">
        <w:rPr>
          <w:rFonts w:cstheme="minorHAnsi"/>
          <w:i/>
          <w:iCs/>
          <w:lang w:val="en-GB"/>
        </w:rPr>
        <w:t xml:space="preserve"> </w:t>
      </w:r>
      <w:r w:rsidR="007C353A" w:rsidRPr="00A34CD9">
        <w:rPr>
          <w:rFonts w:cstheme="minorHAnsi"/>
          <w:lang w:val="en-GB"/>
        </w:rPr>
        <w:t xml:space="preserve">allowing to </w:t>
      </w:r>
      <w:r w:rsidR="006E4412" w:rsidRPr="00A34CD9">
        <w:rPr>
          <w:rFonts w:cstheme="minorHAnsi"/>
          <w:lang w:val="en-GB"/>
        </w:rPr>
        <w:t xml:space="preserve">screen </w:t>
      </w:r>
      <w:r w:rsidR="00422FA2" w:rsidRPr="00A34CD9">
        <w:rPr>
          <w:rFonts w:cstheme="minorHAnsi"/>
          <w:noProof/>
          <w:lang w:val="en-GB"/>
        </w:rPr>
        <w:t>LHP and LTL</w:t>
      </w:r>
      <w:r w:rsidR="006E4412" w:rsidRPr="00A34CD9">
        <w:rPr>
          <w:rFonts w:cstheme="minorHAnsi"/>
          <w:lang w:val="en-GB"/>
        </w:rPr>
        <w:t xml:space="preserve"> independently </w:t>
      </w:r>
      <w:r w:rsidR="007C353A" w:rsidRPr="00A34CD9">
        <w:rPr>
          <w:rFonts w:cstheme="minorHAnsi"/>
          <w:lang w:val="en-GB"/>
        </w:rPr>
        <w:t>and</w:t>
      </w:r>
      <w:r w:rsidR="006E4412" w:rsidRPr="00A34CD9">
        <w:rPr>
          <w:rFonts w:cstheme="minorHAnsi"/>
          <w:lang w:val="en-GB"/>
        </w:rPr>
        <w:t xml:space="preserve"> highlight</w:t>
      </w:r>
      <w:r w:rsidR="007E6C3E" w:rsidRPr="00A34CD9">
        <w:rPr>
          <w:rFonts w:cstheme="minorHAnsi"/>
          <w:lang w:val="en-GB"/>
        </w:rPr>
        <w:t>ing</w:t>
      </w:r>
      <w:r w:rsidR="006E4412" w:rsidRPr="00A34CD9">
        <w:rPr>
          <w:rFonts w:cstheme="minorHAnsi"/>
          <w:lang w:val="en-GB"/>
        </w:rPr>
        <w:t xml:space="preserve"> potential bycatch risk areas</w:t>
      </w:r>
      <w:r w:rsidR="000D090A" w:rsidRPr="00A34CD9">
        <w:rPr>
          <w:rFonts w:cstheme="minorHAnsi"/>
          <w:lang w:val="en-GB"/>
        </w:rPr>
        <w:t xml:space="preserve"> for each metier</w:t>
      </w:r>
      <w:r w:rsidR="00422FA2" w:rsidRPr="00A34CD9">
        <w:rPr>
          <w:rFonts w:cstheme="minorHAnsi"/>
          <w:lang w:val="en-GB"/>
        </w:rPr>
        <w:t>.</w:t>
      </w:r>
      <w:r w:rsidR="00B149E0" w:rsidRPr="00A34CD9">
        <w:rPr>
          <w:rFonts w:cstheme="minorHAnsi"/>
          <w:lang w:val="en-GB"/>
        </w:rPr>
        <w:t xml:space="preserve"> The productivity and susceptibility characteristics (called attributes) were scored between 1 (low risk) and 3 (high risk) and potential risk scores were calculated </w:t>
      </w:r>
      <w:r w:rsidR="00E85DE7" w:rsidRPr="00A34CD9">
        <w:rPr>
          <w:rFonts w:cstheme="minorHAnsi"/>
          <w:lang w:val="en-GB"/>
        </w:rPr>
        <w:t>(</w:t>
      </w:r>
      <w:r w:rsidR="00E85DE7" w:rsidRPr="00A34CD9">
        <w:rPr>
          <w:rFonts w:cstheme="minorHAnsi"/>
          <w:lang w:val="en-GB"/>
        </w:rPr>
        <w:fldChar w:fldCharType="begin" w:fldLock="1"/>
      </w:r>
      <w:r w:rsidR="00E85DE7" w:rsidRPr="00A34CD9">
        <w:rPr>
          <w:rFonts w:cstheme="minorHAnsi"/>
          <w:lang w:val="en-GB"/>
        </w:rPr>
        <w:instrText>ADDIN CSL_CITATION {"citationItems":[{"id":"ITEM-1","itemData":{"author":[{"dropping-particle":"","family":"Hobday","given":"A. J.","non-dropping-particle":"","parse-names":false,"suffix":""},{"dropping-particle":"","family":"Smith","given":"A.","non-dropping-particle":"","parse-names":false,"suffix":""},{"dropping-particle":"","family":"Webb","given":"H.","non-dropping-particle":"","parse-names":false,"suffix":""},{"dropping-particle":"","family":"Daley","given":"R.","non-dropping-particle":"","parse-names":false,"suffix":""},{"dropping-particle":"","family":"Wayte","given":"S.","non-dropping-particle":"","parse-names":false,"suffix":""},{"dropping-particle":"","family":"Bulman","given":"C.","non-dropping-particle":"","parse-names":false,"suffix":""},{"dropping-particle":"","family":"Dowdney","given":"J.","non-dropping-particle":"","parse-names":false,"suffix":""},{"dropping-particle":"","family":"Williams","given":"A.","non-dropping-particle":"","parse-names":false,"suffix":""},{"dropping-particle":"","family":"Sporcic","given":"M.","non-dropping-particle":"","parse-names":false,"suffix":""},{"dropping-particle":"","family":"Dambacher","given":"J.","non-dropping-particle":"","parse-names":false,"suffix":""},{"dropping-particle":"","family":"Fuller","given":"M.","non-dropping-particle":"","parse-names":false,"suffix":""},{"dropping-particle":"","family":"Walker","given":"T.","non-dropping-particle":"","parse-names":false,"suffix":""}],"id":"ITEM-1","issued":{"date-parts":[["2007"]]},"title":"Ecological Risk Assessment for the Effects of Fishing: Methodology. Report R04/1072 for the Australian Fisheries Management Authority, Canberra.","type":"report"},"uris":["http://www.mendeley.com/documents/?uuid=33e1b2c6-3f95-4191-adf6-db10b8cae5d4"]}],"mendeley":{"formattedCitation":"(Hobday &lt;i&gt;et al.&lt;/i&gt;, 2007)","manualFormatting":"Hobday et al. 2007)","plainTextFormattedCitation":"(Hobday et al., 2007)","previouslyFormattedCitation":"(Hobday &lt;i&gt;et al.&lt;/i&gt;, 2007)"},"properties":{"noteIndex":0},"schema":"https://github.com/citation-style-language/schema/raw/master/csl-citation.json"}</w:instrText>
      </w:r>
      <w:r w:rsidR="00E85DE7" w:rsidRPr="00A34CD9">
        <w:rPr>
          <w:rFonts w:cstheme="minorHAnsi"/>
          <w:lang w:val="en-GB"/>
        </w:rPr>
        <w:fldChar w:fldCharType="separate"/>
      </w:r>
      <w:r w:rsidR="00E85DE7" w:rsidRPr="00A34CD9">
        <w:rPr>
          <w:rFonts w:cstheme="minorHAnsi"/>
          <w:noProof/>
          <w:lang w:val="en-GB"/>
        </w:rPr>
        <w:t xml:space="preserve">Hobday </w:t>
      </w:r>
      <w:r w:rsidR="00E85DE7" w:rsidRPr="00A34CD9">
        <w:rPr>
          <w:rFonts w:cstheme="minorHAnsi"/>
          <w:i/>
          <w:noProof/>
          <w:lang w:val="en-GB"/>
        </w:rPr>
        <w:t>et al.</w:t>
      </w:r>
      <w:r w:rsidR="00E85DE7" w:rsidRPr="00A34CD9">
        <w:rPr>
          <w:rFonts w:cstheme="minorHAnsi"/>
          <w:noProof/>
          <w:lang w:val="en-GB"/>
        </w:rPr>
        <w:t xml:space="preserve"> 2007)</w:t>
      </w:r>
      <w:r w:rsidR="00E85DE7" w:rsidRPr="00A34CD9">
        <w:rPr>
          <w:rFonts w:cstheme="minorHAnsi"/>
          <w:lang w:val="en-GB"/>
        </w:rPr>
        <w:fldChar w:fldCharType="end"/>
      </w:r>
      <w:r w:rsidR="00B149E0" w:rsidRPr="00A34CD9">
        <w:rPr>
          <w:rFonts w:cstheme="minorHAnsi"/>
          <w:lang w:val="en-GB"/>
        </w:rPr>
        <w:t>. Finally, the risk scores were displayed graphically on an x–y plot (PSA plot).</w:t>
      </w:r>
    </w:p>
    <w:p w14:paraId="7E1CBA30" w14:textId="7F352DB2" w:rsidR="007C353A" w:rsidRPr="00A34CD9" w:rsidRDefault="007C353A" w:rsidP="002A528E">
      <w:pPr>
        <w:numPr>
          <w:ilvl w:val="2"/>
          <w:numId w:val="3"/>
        </w:numPr>
        <w:suppressLineNumbers/>
        <w:spacing w:line="480" w:lineRule="auto"/>
        <w:outlineLvl w:val="2"/>
        <w:rPr>
          <w:rFonts w:cstheme="minorHAnsi"/>
          <w:b/>
          <w:bCs/>
          <w:lang w:val="en-GB"/>
        </w:rPr>
      </w:pPr>
      <w:r w:rsidRPr="00A34CD9">
        <w:rPr>
          <w:rFonts w:cstheme="minorHAnsi"/>
          <w:b/>
          <w:bCs/>
          <w:lang w:val="en-GB"/>
        </w:rPr>
        <w:t>Productivity</w:t>
      </w:r>
    </w:p>
    <w:p w14:paraId="46CF4C63" w14:textId="6820BA3D" w:rsidR="00FC0C94" w:rsidRPr="00A34CD9" w:rsidRDefault="004421AD" w:rsidP="002A528E">
      <w:pPr>
        <w:suppressLineNumbers/>
        <w:spacing w:line="480" w:lineRule="auto"/>
        <w:jc w:val="both"/>
        <w:rPr>
          <w:rFonts w:cstheme="minorHAnsi"/>
          <w:lang w:val="en-GB"/>
        </w:rPr>
      </w:pPr>
      <w:r w:rsidRPr="00A34CD9">
        <w:rPr>
          <w:rFonts w:cstheme="minorHAnsi"/>
          <w:lang w:val="en-GB"/>
        </w:rPr>
        <w:t>Great shearwater productivity was assessed using the Fecundity Factor Index</w:t>
      </w:r>
      <w:r w:rsidR="00D358E2" w:rsidRPr="00A34CD9">
        <w:rPr>
          <w:rFonts w:cstheme="minorHAnsi"/>
          <w:lang w:val="en-GB"/>
        </w:rPr>
        <w:t xml:space="preserve"> (FFI)</w:t>
      </w:r>
      <w:r w:rsidRPr="00A34CD9">
        <w:rPr>
          <w:rFonts w:cstheme="minorHAnsi"/>
          <w:lang w:val="en-GB"/>
        </w:rPr>
        <w:t xml:space="preserve"> proposed by </w:t>
      </w:r>
      <w:r w:rsidRPr="00A34CD9">
        <w:rPr>
          <w:rFonts w:cstheme="minorHAnsi"/>
          <w:lang w:val="en-GB"/>
        </w:rPr>
        <w:fldChar w:fldCharType="begin" w:fldLock="1"/>
      </w:r>
      <w:r w:rsidR="00CC1451" w:rsidRPr="00A34CD9">
        <w:rPr>
          <w:rFonts w:cstheme="minorHAnsi"/>
          <w:lang w:val="en-GB"/>
        </w:rPr>
        <w:instrText>ADDIN CSL_CITATION {"citationItems":[{"id":"ITEM-1","itemData":{"DOI":"10.1016/j.marpol.2011.11.005","ISSN":"0308597X","abstract":"The risk of seabird-fishery interactions in the Western and Central Pacific Ocean (WCPO) was examined by analysing the overlap of seabird distributions with tuna and swordfish pelagic longline fisheries managed by the Western and Central Pacific Fisheries Commission (WCPFC) and its constituent members. The study used spatially-explicit Productivity-Susceptibility Analysis (PSA). Key data inputs were species productivity, fishing effort, likelihood of capture and species density by region. The outputs tailored results to the needs of fisheries- and wildlife-managers, indicating areas of greatest risk of species interactions, species of greatest concern for population impacts, and the flags or fisheries most likely to contribute to the risk. Large albatross species were found to be most likely to suffer population effects when exposed to longline fishing activity, followed by the larger petrels from the genuses Procellaria, Macronectes and Pterodroma. A mixture of coastal states with nesting seabird populations in their Exclusive Economic Zones (New Zealand, Australia and United States of America), distant water fishing nations (Japan, Taiwan) and flags of convenience (Vanuatu) contributed 90% of the risk to seabird populations. Recommendations include enhancing the level of fisheries observer monitoring in areas indicated as high to medium risk for seabird interactions, and consideration of spatial management tools, such as more intensive or more stringent seabird bycatch mitigation requirements in high- to medium-risk areas. The methods used, and similar studies conducted in the Atlantic Ocean could lead to improved targeting of monitoring resources, and greater specificity in the needs for seabird-mitigation measures. This will assist in reducing seabird mortality in longline fishing operations and with more effective use of resources for fishery managers in both domestic fisheries and RFMOs. © 2011 Elsevier Ltd.","author":[{"dropping-particle":"","family":"Waugh","given":"Susan M.","non-dropping-particle":"","parse-names":false,"suffix":""},{"dropping-particle":"","family":"Filippi","given":"Dominique P.","non-dropping-particle":"","parse-names":false,"suffix":""},{"dropping-particle":"","family":"Kirby","given":"David S.","non-dropping-particle":"","parse-names":false,"suffix":""},{"dropping-particle":"","family":"Abraham","given":"Edward","non-dropping-particle":"","parse-names":false,"suffix":""},{"dropping-particle":"","family":"Walker","given":"Nathan","non-dropping-particle":"","parse-names":false,"suffix":""}],"container-title":"Marine Policy","id":"ITEM-1","issue":"4","issued":{"date-parts":[["2012"]]},"page":"933-946","publisher":"Elsevier","title":"Ecological Risk Assessment for seabird interactions in Western and Central Pacific longline fisheries","type":"article-journal","volume":"36"},"uris":["http://www.mendeley.com/documents/?uuid=c466b1f0-c00a-4954-b46d-902bfd01c883"]}],"mendeley":{"formattedCitation":"(Waugh &lt;i&gt;et al.&lt;/i&gt;, 2012)","manualFormatting":"Waugh et al. (2012)","plainTextFormattedCitation":"(Waugh et al., 2012)","previouslyFormattedCitation":"(Waugh &lt;i&gt;et al.&lt;/i&gt;, 2012)"},"properties":{"noteIndex":0},"schema":"https://github.com/citation-style-language/schema/raw/master/csl-citation.json"}</w:instrText>
      </w:r>
      <w:r w:rsidRPr="00A34CD9">
        <w:rPr>
          <w:rFonts w:cstheme="minorHAnsi"/>
          <w:lang w:val="en-GB"/>
        </w:rPr>
        <w:fldChar w:fldCharType="separate"/>
      </w:r>
      <w:r w:rsidRPr="00A34CD9">
        <w:rPr>
          <w:rFonts w:cstheme="minorHAnsi"/>
          <w:noProof/>
          <w:lang w:val="en-GB"/>
        </w:rPr>
        <w:t xml:space="preserve">Waugh </w:t>
      </w:r>
      <w:r w:rsidRPr="00A34CD9">
        <w:rPr>
          <w:rFonts w:cstheme="minorHAnsi"/>
          <w:i/>
          <w:noProof/>
          <w:lang w:val="en-GB"/>
        </w:rPr>
        <w:t>et al.</w:t>
      </w:r>
      <w:r w:rsidRPr="00A34CD9">
        <w:rPr>
          <w:rFonts w:cstheme="minorHAnsi"/>
          <w:noProof/>
          <w:lang w:val="en-GB"/>
        </w:rPr>
        <w:t xml:space="preserve"> (2012)</w:t>
      </w:r>
      <w:r w:rsidRPr="00A34CD9">
        <w:rPr>
          <w:rFonts w:cstheme="minorHAnsi"/>
          <w:lang w:val="en-GB"/>
        </w:rPr>
        <w:fldChar w:fldCharType="end"/>
      </w:r>
      <w:r w:rsidR="0068557A" w:rsidRPr="00A34CD9">
        <w:rPr>
          <w:rFonts w:cstheme="minorHAnsi"/>
          <w:lang w:val="en-GB"/>
        </w:rPr>
        <w:t xml:space="preserve"> for seabird species. </w:t>
      </w:r>
      <w:r w:rsidR="00D358E2" w:rsidRPr="00A34CD9">
        <w:rPr>
          <w:rFonts w:cstheme="minorHAnsi"/>
          <w:lang w:val="en-GB"/>
        </w:rPr>
        <w:t>The FFI</w:t>
      </w:r>
      <w:r w:rsidRPr="00A34CD9">
        <w:rPr>
          <w:rFonts w:cstheme="minorHAnsi"/>
          <w:lang w:val="en-GB"/>
        </w:rPr>
        <w:t xml:space="preserve"> scor</w:t>
      </w:r>
      <w:r w:rsidR="000D090A" w:rsidRPr="00A34CD9">
        <w:rPr>
          <w:rFonts w:cstheme="minorHAnsi"/>
          <w:lang w:val="en-GB"/>
        </w:rPr>
        <w:t>es</w:t>
      </w:r>
      <w:r w:rsidRPr="00A34CD9">
        <w:rPr>
          <w:rFonts w:cstheme="minorHAnsi"/>
          <w:lang w:val="en-GB"/>
        </w:rPr>
        <w:t xml:space="preserve"> the species </w:t>
      </w:r>
      <w:r w:rsidR="00D358E2" w:rsidRPr="00A34CD9">
        <w:rPr>
          <w:rFonts w:cstheme="minorHAnsi"/>
          <w:lang w:val="en-GB"/>
        </w:rPr>
        <w:t xml:space="preserve">into three groups for two variables: </w:t>
      </w:r>
      <w:r w:rsidRPr="00A34CD9">
        <w:rPr>
          <w:rFonts w:cstheme="minorHAnsi"/>
          <w:lang w:val="en-GB"/>
        </w:rPr>
        <w:t xml:space="preserve">the life-history strategy and </w:t>
      </w:r>
      <w:r w:rsidR="00D358E2" w:rsidRPr="00A34CD9">
        <w:rPr>
          <w:rFonts w:cstheme="minorHAnsi"/>
          <w:lang w:val="en-GB"/>
        </w:rPr>
        <w:t xml:space="preserve">the </w:t>
      </w:r>
      <w:r w:rsidRPr="00A34CD9">
        <w:rPr>
          <w:rFonts w:cstheme="minorHAnsi"/>
          <w:lang w:val="en-GB"/>
        </w:rPr>
        <w:t xml:space="preserve">median age at first breeding </w:t>
      </w:r>
      <w:r w:rsidR="00D358E2" w:rsidRPr="00A34CD9">
        <w:rPr>
          <w:rFonts w:cstheme="minorHAnsi"/>
          <w:lang w:val="en-GB"/>
        </w:rPr>
        <w:t>(</w:t>
      </w:r>
      <w:r w:rsidR="0068557A" w:rsidRPr="00A34CD9">
        <w:rPr>
          <w:rFonts w:cstheme="minorHAnsi"/>
          <w:lang w:val="en-GB"/>
        </w:rPr>
        <w:t xml:space="preserve">see </w:t>
      </w:r>
      <w:r w:rsidR="00D358E2" w:rsidRPr="00A34CD9">
        <w:rPr>
          <w:rFonts w:cstheme="minorHAnsi"/>
          <w:noProof/>
          <w:color w:val="A6A6A6" w:themeColor="background1" w:themeShade="A6"/>
          <w:lang w:val="en-GB"/>
        </w:rPr>
        <w:t xml:space="preserve">Table </w:t>
      </w:r>
      <w:r w:rsidR="000D5121" w:rsidRPr="00A34CD9">
        <w:rPr>
          <w:rFonts w:cstheme="minorHAnsi"/>
          <w:noProof/>
          <w:color w:val="A6A6A6" w:themeColor="background1" w:themeShade="A6"/>
          <w:lang w:val="en-GB"/>
        </w:rPr>
        <w:t>1</w:t>
      </w:r>
      <w:r w:rsidR="00D358E2" w:rsidRPr="00A34CD9">
        <w:rPr>
          <w:rFonts w:cstheme="minorHAnsi"/>
          <w:lang w:val="en-GB"/>
        </w:rPr>
        <w:t>)</w:t>
      </w:r>
      <w:r w:rsidR="00981A62" w:rsidRPr="00A34CD9">
        <w:rPr>
          <w:rFonts w:cstheme="minorHAnsi"/>
          <w:lang w:val="en-GB"/>
        </w:rPr>
        <w:t xml:space="preserve">. </w:t>
      </w:r>
      <w:r w:rsidR="00664E5B" w:rsidRPr="00A34CD9">
        <w:rPr>
          <w:rFonts w:cstheme="minorHAnsi"/>
          <w:lang w:val="en-GB"/>
        </w:rPr>
        <w:t>T</w:t>
      </w:r>
      <w:r w:rsidR="001B239C" w:rsidRPr="00A34CD9">
        <w:rPr>
          <w:rFonts w:cstheme="minorHAnsi"/>
          <w:lang w:val="en-GB"/>
        </w:rPr>
        <w:t>he great shearwater</w:t>
      </w:r>
      <w:r w:rsidR="00E11A43" w:rsidRPr="00A34CD9">
        <w:rPr>
          <w:rFonts w:cstheme="minorHAnsi"/>
          <w:lang w:val="en-GB"/>
        </w:rPr>
        <w:t xml:space="preserve"> is</w:t>
      </w:r>
      <w:r w:rsidR="00FE1FF6" w:rsidRPr="00A34CD9">
        <w:rPr>
          <w:rFonts w:cstheme="minorHAnsi"/>
          <w:lang w:val="en-GB"/>
        </w:rPr>
        <w:t xml:space="preserve"> </w:t>
      </w:r>
      <w:r w:rsidR="00134E0B" w:rsidRPr="00A34CD9">
        <w:rPr>
          <w:rFonts w:cstheme="minorHAnsi"/>
          <w:lang w:val="en-GB"/>
        </w:rPr>
        <w:t xml:space="preserve">an annual breeding species </w:t>
      </w:r>
      <w:r w:rsidR="00134E0B" w:rsidRPr="00A34CD9">
        <w:rPr>
          <w:rFonts w:cstheme="minorHAnsi"/>
          <w:lang w:val="en-GB"/>
        </w:rPr>
        <w:lastRenderedPageBreak/>
        <w:t xml:space="preserve">with </w:t>
      </w:r>
      <w:r w:rsidR="004D0151" w:rsidRPr="00A34CD9">
        <w:rPr>
          <w:rFonts w:cstheme="minorHAnsi"/>
          <w:lang w:val="en-GB"/>
        </w:rPr>
        <w:t>single egg clutches</w:t>
      </w:r>
      <w:r w:rsidR="00B458BA" w:rsidRPr="00A34CD9">
        <w:rPr>
          <w:rFonts w:cstheme="minorHAnsi"/>
          <w:lang w:val="en-GB"/>
        </w:rPr>
        <w:t xml:space="preserve"> </w:t>
      </w:r>
      <w:r w:rsidR="00B458BA" w:rsidRPr="00A34CD9">
        <w:rPr>
          <w:rFonts w:cstheme="minorHAnsi"/>
          <w:lang w:val="en-GB"/>
        </w:rPr>
        <w:fldChar w:fldCharType="begin" w:fldLock="1"/>
      </w:r>
      <w:r w:rsidR="001E3725" w:rsidRPr="00A34CD9">
        <w:rPr>
          <w:rFonts w:cstheme="minorHAnsi"/>
          <w:lang w:val="en-GB"/>
        </w:rPr>
        <w:instrText>ADDIN CSL_CITATION {"citationItems":[{"id":"ITEM-1","itemData":{"DOI":"10.1007/s00227-018-3299-x","ISBN":"0123456789","ISSN":"00253162","abstract":"Shearwaters are among the most abundant seabirds globally and breeding birds often travel thousands of kilometres during foraging trips to productive marine areas. Great Shearwaters Ardenna gravis are endemic breeders of the Tristan da Cunha Archipelago with a population of 5–6 million breeding pairs making them key top predators within the South Atlantic Ocean. We deployed satellite transmitters on 42 breeding and non-breeding shearwaters at two nesting islands and one foraging site in the northern hemisphere to quantify their movements and space use with respect to age, sex, colonies and breeding phases. During the pre-laying period, birds from Gough Island made trips of 2400 km to the Benguela upwelling region off South Africa, or CloseSPigtSPi 4000 km to the Patagonian Shelf; patterns which overlapped with immature birds from the Bay of Fundy, Canada. During the incubation period, males and females from Inaccessible Island showed differences in trip durations, but no difference in foraging ranges: both sexes made trips of 1500–2000 km to the Sub-Antarctic Front or 4000 km to the Patagonian Shelf, among the furthest foraging trips of breeding seabirds observed to date. Although the colonies are separated by only 400 km, during the incubation period, the at-sea distribution of non-breeding birds from Gough Island was spatially segregated from breeding and failed birds from Inaccessible Island, whereas immature birds from Fundy overlapped with birds from both colonies. During the post-breeding period, all tagged populations overlapped on the Patagonian Shelf. Argentina’s Exclusive Economic Zone was used extensively during pre-laying, incubation, and post-breeding periods, highlighting the global importance of the Patagonian Shelf for this species.","author":[{"dropping-particle":"","family":"Ronconi","given":"Robert A.","non-dropping-particle":"","parse-names":false,"suffix":""},{"dropping-particle":"","family":"Schoombie","given":"Stefan","non-dropping-particle":"","parse-names":false,"suffix":""},{"dropping-particle":"","family":"Westgate","given":"Andrew J.","non-dropping-particle":"","parse-names":false,"suffix":""},{"dropping-particle":"","family":"Wong","given":"Sarah N.P.","non-dropping-particle":"","parse-names":false,"suffix":""},{"dropping-particle":"","family":"Koopman","given":"Heather N.","non-dropping-particle":"","parse-names":false,"suffix":""},{"dropping-particle":"","family":"Ryan","given":"Peter G.","non-dropping-particle":"","parse-names":false,"suffix":""}],"container-title":"Marine Biology","id":"ITEM-1","issue":"3","issued":{"date-parts":[["2018"]]},"page":"1-13","publisher":"Springer Berlin Heidelberg","title":"Effects of age, sex, colony and breeding phase on marine space use by Great Shearwaters Ardenna gravis in the South Atlantic","type":"article-journal","volume":"165"},"uris":["http://www.mendeley.com/documents/?uuid=74fdeac1-2317-42e4-9f15-9ea9c93cec95"]}],"mendeley":{"formattedCitation":"(Ronconi &lt;i&gt;et al.&lt;/i&gt;, 2018)","plainTextFormattedCitation":"(Ronconi et al., 2018)","previouslyFormattedCitation":"(Ronconi &lt;i&gt;et al.&lt;/i&gt;, 2018)"},"properties":{"noteIndex":0},"schema":"https://github.com/citation-style-language/schema/raw/master/csl-citation.json"}</w:instrText>
      </w:r>
      <w:r w:rsidR="00B458BA" w:rsidRPr="00A34CD9">
        <w:rPr>
          <w:rFonts w:cstheme="minorHAnsi"/>
          <w:lang w:val="en-GB"/>
        </w:rPr>
        <w:fldChar w:fldCharType="separate"/>
      </w:r>
      <w:r w:rsidR="00B458BA" w:rsidRPr="00A34CD9">
        <w:rPr>
          <w:rFonts w:cstheme="minorHAnsi"/>
          <w:noProof/>
          <w:lang w:val="en-GB"/>
        </w:rPr>
        <w:t xml:space="preserve">(Ronconi </w:t>
      </w:r>
      <w:r w:rsidR="00B458BA" w:rsidRPr="00A34CD9">
        <w:rPr>
          <w:rFonts w:cstheme="minorHAnsi"/>
          <w:i/>
          <w:noProof/>
          <w:lang w:val="en-GB"/>
        </w:rPr>
        <w:t>et al.</w:t>
      </w:r>
      <w:r w:rsidR="00B458BA" w:rsidRPr="00A34CD9">
        <w:rPr>
          <w:rFonts w:cstheme="minorHAnsi"/>
          <w:noProof/>
          <w:lang w:val="en-GB"/>
        </w:rPr>
        <w:t>, 2018)</w:t>
      </w:r>
      <w:r w:rsidR="00B458BA" w:rsidRPr="00A34CD9">
        <w:rPr>
          <w:rFonts w:cstheme="minorHAnsi"/>
          <w:lang w:val="en-GB"/>
        </w:rPr>
        <w:fldChar w:fldCharType="end"/>
      </w:r>
      <w:r w:rsidR="00E11A43" w:rsidRPr="00A34CD9">
        <w:rPr>
          <w:rFonts w:cstheme="minorHAnsi"/>
          <w:lang w:val="en-GB"/>
        </w:rPr>
        <w:t>. However, the</w:t>
      </w:r>
      <w:r w:rsidR="00E805F0" w:rsidRPr="00A34CD9">
        <w:rPr>
          <w:rFonts w:cstheme="minorHAnsi"/>
          <w:lang w:val="en-GB"/>
        </w:rPr>
        <w:t>ir</w:t>
      </w:r>
      <w:r w:rsidR="00E11A43" w:rsidRPr="00A34CD9">
        <w:rPr>
          <w:rFonts w:cstheme="minorHAnsi"/>
          <w:lang w:val="en-GB"/>
        </w:rPr>
        <w:t xml:space="preserve"> age at first breeding is unknown </w:t>
      </w:r>
      <w:r w:rsidR="005E47F9" w:rsidRPr="00A34CD9">
        <w:rPr>
          <w:rFonts w:cstheme="minorHAnsi"/>
          <w:lang w:val="en-GB"/>
        </w:rPr>
        <w:t>though</w:t>
      </w:r>
      <w:r w:rsidR="004A54BB" w:rsidRPr="00A34CD9">
        <w:rPr>
          <w:rFonts w:cstheme="minorHAnsi"/>
          <w:lang w:val="en-GB"/>
        </w:rPr>
        <w:t xml:space="preserve"> may be similar </w:t>
      </w:r>
      <w:r w:rsidR="0023241A" w:rsidRPr="00A34CD9">
        <w:rPr>
          <w:rFonts w:cstheme="minorHAnsi"/>
          <w:lang w:val="en-GB"/>
        </w:rPr>
        <w:t xml:space="preserve">to </w:t>
      </w:r>
      <w:r w:rsidR="001609A6" w:rsidRPr="00A34CD9">
        <w:rPr>
          <w:rFonts w:cstheme="minorHAnsi"/>
          <w:lang w:val="en-GB"/>
        </w:rPr>
        <w:t xml:space="preserve">their relatives, the </w:t>
      </w:r>
      <w:r w:rsidR="00814C49" w:rsidRPr="00A34CD9">
        <w:rPr>
          <w:rFonts w:cstheme="minorHAnsi"/>
          <w:lang w:val="en-GB"/>
        </w:rPr>
        <w:t>Short-tailed</w:t>
      </w:r>
      <w:r w:rsidR="00664E5B" w:rsidRPr="00A34CD9">
        <w:rPr>
          <w:rFonts w:cstheme="minorHAnsi"/>
          <w:lang w:val="en-GB"/>
        </w:rPr>
        <w:t xml:space="preserve"> shearwater</w:t>
      </w:r>
      <w:r w:rsidR="00A368CE" w:rsidRPr="00A34CD9">
        <w:rPr>
          <w:rFonts w:cstheme="minorHAnsi"/>
          <w:lang w:val="en-GB"/>
        </w:rPr>
        <w:t xml:space="preserve"> (</w:t>
      </w:r>
      <w:r w:rsidR="00A368CE" w:rsidRPr="00A34CD9">
        <w:rPr>
          <w:rFonts w:cstheme="minorHAnsi"/>
          <w:i/>
          <w:iCs/>
          <w:lang w:val="en-GB"/>
        </w:rPr>
        <w:t xml:space="preserve">A. </w:t>
      </w:r>
      <w:proofErr w:type="spellStart"/>
      <w:r w:rsidR="00A368CE" w:rsidRPr="00A34CD9">
        <w:rPr>
          <w:rFonts w:cstheme="minorHAnsi"/>
          <w:i/>
          <w:iCs/>
          <w:lang w:val="en-GB"/>
        </w:rPr>
        <w:t>tenuirostris</w:t>
      </w:r>
      <w:proofErr w:type="spellEnd"/>
      <w:r w:rsidR="00A368CE" w:rsidRPr="00A34CD9">
        <w:rPr>
          <w:rFonts w:cstheme="minorHAnsi"/>
          <w:lang w:val="en-GB"/>
        </w:rPr>
        <w:t>)</w:t>
      </w:r>
      <w:r w:rsidR="00814C49" w:rsidRPr="00A34CD9">
        <w:rPr>
          <w:rFonts w:cstheme="minorHAnsi"/>
          <w:lang w:val="en-GB"/>
        </w:rPr>
        <w:t xml:space="preserve"> and the Cory’s shearwater</w:t>
      </w:r>
      <w:r w:rsidR="00664E5B" w:rsidRPr="00A34CD9">
        <w:rPr>
          <w:rFonts w:cstheme="minorHAnsi"/>
          <w:lang w:val="en-GB"/>
        </w:rPr>
        <w:t xml:space="preserve"> </w:t>
      </w:r>
      <w:r w:rsidR="00A368CE" w:rsidRPr="00A34CD9">
        <w:rPr>
          <w:rFonts w:cstheme="minorHAnsi"/>
          <w:lang w:val="en-GB"/>
        </w:rPr>
        <w:t>(</w:t>
      </w:r>
      <w:proofErr w:type="spellStart"/>
      <w:r w:rsidR="00A368CE" w:rsidRPr="00A34CD9">
        <w:rPr>
          <w:rFonts w:cstheme="minorHAnsi"/>
          <w:i/>
          <w:iCs/>
          <w:lang w:val="en-GB"/>
        </w:rPr>
        <w:t>Calonectris</w:t>
      </w:r>
      <w:proofErr w:type="spellEnd"/>
      <w:r w:rsidR="00A368CE" w:rsidRPr="00A34CD9">
        <w:rPr>
          <w:rFonts w:cstheme="minorHAnsi"/>
          <w:i/>
          <w:iCs/>
          <w:lang w:val="en-GB"/>
        </w:rPr>
        <w:t xml:space="preserve"> </w:t>
      </w:r>
      <w:r w:rsidR="00A368CE" w:rsidRPr="00A34CD9">
        <w:rPr>
          <w:rFonts w:cstheme="minorHAnsi"/>
          <w:lang w:val="en-GB"/>
        </w:rPr>
        <w:t xml:space="preserve">borealis) </w:t>
      </w:r>
      <w:r w:rsidR="00664E5B" w:rsidRPr="00A34CD9">
        <w:rPr>
          <w:rFonts w:cstheme="minorHAnsi"/>
          <w:lang w:val="en-GB"/>
        </w:rPr>
        <w:t xml:space="preserve">which </w:t>
      </w:r>
      <w:r w:rsidR="00DF33E1" w:rsidRPr="00A34CD9">
        <w:rPr>
          <w:rFonts w:cstheme="minorHAnsi"/>
          <w:lang w:val="en-GB"/>
        </w:rPr>
        <w:t xml:space="preserve">are </w:t>
      </w:r>
      <w:r w:rsidR="006D4EA0" w:rsidRPr="00A34CD9">
        <w:rPr>
          <w:rFonts w:cstheme="minorHAnsi"/>
          <w:lang w:val="en-GB"/>
        </w:rPr>
        <w:t>firs</w:t>
      </w:r>
      <w:r w:rsidR="0083152F" w:rsidRPr="00A34CD9">
        <w:rPr>
          <w:rFonts w:cstheme="minorHAnsi"/>
          <w:lang w:val="en-GB"/>
        </w:rPr>
        <w:t>t-time</w:t>
      </w:r>
      <w:r w:rsidR="006D4EA0" w:rsidRPr="00A34CD9">
        <w:rPr>
          <w:rFonts w:cstheme="minorHAnsi"/>
          <w:lang w:val="en-GB"/>
        </w:rPr>
        <w:t xml:space="preserve"> </w:t>
      </w:r>
      <w:r w:rsidR="00664E5B" w:rsidRPr="00A34CD9">
        <w:rPr>
          <w:rFonts w:cstheme="minorHAnsi"/>
          <w:lang w:val="en-GB"/>
        </w:rPr>
        <w:t>breed</w:t>
      </w:r>
      <w:r w:rsidR="0083152F" w:rsidRPr="00A34CD9">
        <w:rPr>
          <w:rFonts w:cstheme="minorHAnsi"/>
          <w:lang w:val="en-GB"/>
        </w:rPr>
        <w:t>ers</w:t>
      </w:r>
      <w:r w:rsidR="00664E5B" w:rsidRPr="00A34CD9">
        <w:rPr>
          <w:rFonts w:cstheme="minorHAnsi"/>
          <w:lang w:val="en-GB"/>
        </w:rPr>
        <w:t xml:space="preserve"> at six or seven and nine years old, respectively</w:t>
      </w:r>
      <w:r w:rsidR="0089098E" w:rsidRPr="00A34CD9">
        <w:rPr>
          <w:rFonts w:cstheme="minorHAnsi"/>
          <w:lang w:val="en-GB"/>
        </w:rPr>
        <w:t xml:space="preserve"> </w:t>
      </w:r>
      <w:r w:rsidR="0089098E" w:rsidRPr="00A34CD9">
        <w:rPr>
          <w:rFonts w:cstheme="minorHAnsi"/>
          <w:lang w:val="en-GB"/>
        </w:rPr>
        <w:fldChar w:fldCharType="begin" w:fldLock="1"/>
      </w:r>
      <w:r w:rsidR="005A2A6F" w:rsidRPr="00A34CD9">
        <w:rPr>
          <w:rFonts w:cstheme="minorHAnsi"/>
          <w:lang w:val="en-GB"/>
        </w:rPr>
        <w:instrText>ADDIN CSL_CITATION {"citationItems":[{"id":"ITEM-1","itemData":{"ISSN":"10183337","abstract":"Movements of Great Shearwaters Ardenna gravis wintering in the Northwest Atlantic showed age-based spatial and temporal flexibility, with foraging tactics linked to a defined physical preference of their primary prey. From 2013 to 2018, we tracked 58 Great Shearwaters during their wintering season using platform terminal transmitters deployed in the same area of the southwest Gulf of Maine. Utilization distributions (UDs) for individual birds were created from convex hulls, which were then combined for spatial and temporal analyses. Of the 95% kernel UDs, 55% were contained within the Gulf of Maine and the remainder extended to the Scotian Shelf off Nova Scotia and the Grand Banks off Newfoundland. Analysis of fecal DNA from tagged birds and others captured with them indicated that Northern sand lance Ammodytes dubius were the primary prey while in the Gulf of Maine. This relationship was supported by the overlap of UDs and sand lance habitat. The spatial occurrence of sand lance from bottomfish trawl survey data demonstrated that these fish preferred shallow water (&lt; 100 m deep) with substrates consisting of high sand content (&gt; 50%) and grain sizes ranging from 0.35–2.00 mm in diameter. These same properties were associated and spatially aligned with the collective 25% kernel UD of Great Shearwaters. Necropsy of bycaught Great Shearwaters from an area that overlapped in space and time with tagged individuals and sand lance habitat demonstrated that most birds (89%) were young (0–2 years), based on gonadal development, molt score, and/or bursa of Fabricius. Coupling demographic information from necropsies with spatial habits and movement timing of tagged birds suggests this region serves as a winter “nursery” for Great Shearwaters.","author":[{"dropping-particle":"","family":"Powers","given":"Kevin D.","non-dropping-particle":"","parse-names":false,"suffix":""},{"dropping-particle":"","family":"Wiley","given":"David N.","non-dropping-particle":"","parse-names":false,"suffix":""},{"dropping-particle":"","family":"Robuck","given":"Anna R.","non-dropping-particle":"","parse-names":false,"suffix":""},{"dropping-particle":"","family":"Olson","given":"Zachary H.","non-dropping-particle":"","parse-names":false,"suffix":""},{"dropping-particle":"","family":"Welch","given":"Linda J.","non-dropping-particle":"","parse-names":false,"suffix":""},{"dropping-particle":"","family":"Thompson","given":"Michael A.","non-dropping-particle":"","parse-names":false,"suffix":""},{"dropping-particle":"","family":"Kaufman","given":"Les","non-dropping-particle":"","parse-names":false,"suffix":""}],"container-title":"Marine Ornithology","id":"ITEM-1","issue":"2","issued":{"date-parts":[["2020"]]},"page":"215-229","title":"Spatiotemporal characterization of non-breeding great shearwaters &lt;i&gt;Ardenna gravis&lt;/i&gt; within their wintering range","type":"article-journal","volume":"48"},"uris":["http://www.mendeley.com/documents/?uuid=b87a6806-4302-4bf5-a9cc-172589bbce40"]}],"mendeley":{"formattedCitation":"(Powers &lt;i&gt;et al.&lt;/i&gt;, 2020)","plainTextFormattedCitation":"(Powers et al., 2020)","previouslyFormattedCitation":"(Powers &lt;i&gt;et al.&lt;/i&gt;, 2020)"},"properties":{"noteIndex":0},"schema":"https://github.com/citation-style-language/schema/raw/master/csl-citation.json"}</w:instrText>
      </w:r>
      <w:r w:rsidR="0089098E" w:rsidRPr="00A34CD9">
        <w:rPr>
          <w:rFonts w:cstheme="minorHAnsi"/>
          <w:lang w:val="en-GB"/>
        </w:rPr>
        <w:fldChar w:fldCharType="separate"/>
      </w:r>
      <w:r w:rsidR="0089098E" w:rsidRPr="00A34CD9">
        <w:rPr>
          <w:rFonts w:cstheme="minorHAnsi"/>
          <w:noProof/>
          <w:lang w:val="en-GB"/>
        </w:rPr>
        <w:t xml:space="preserve">(Powers </w:t>
      </w:r>
      <w:r w:rsidR="0089098E" w:rsidRPr="00A34CD9">
        <w:rPr>
          <w:rFonts w:cstheme="minorHAnsi"/>
          <w:i/>
          <w:noProof/>
          <w:lang w:val="en-GB"/>
        </w:rPr>
        <w:t>et al.</w:t>
      </w:r>
      <w:r w:rsidR="0089098E" w:rsidRPr="00A34CD9">
        <w:rPr>
          <w:rFonts w:cstheme="minorHAnsi"/>
          <w:noProof/>
          <w:lang w:val="en-GB"/>
        </w:rPr>
        <w:t>, 2020)</w:t>
      </w:r>
      <w:r w:rsidR="0089098E" w:rsidRPr="00A34CD9">
        <w:rPr>
          <w:rFonts w:cstheme="minorHAnsi"/>
          <w:lang w:val="en-GB"/>
        </w:rPr>
        <w:fldChar w:fldCharType="end"/>
      </w:r>
      <w:r w:rsidR="00F155DD" w:rsidRPr="00A34CD9">
        <w:rPr>
          <w:rFonts w:cstheme="minorHAnsi"/>
          <w:lang w:val="en-GB"/>
        </w:rPr>
        <w:t xml:space="preserve">. Hence, </w:t>
      </w:r>
      <w:r w:rsidR="003D1052" w:rsidRPr="00A34CD9">
        <w:rPr>
          <w:rFonts w:cstheme="minorHAnsi"/>
          <w:lang w:val="en-GB"/>
        </w:rPr>
        <w:t xml:space="preserve">due to uncertainty </w:t>
      </w:r>
      <w:r w:rsidR="002B4D1F" w:rsidRPr="00A34CD9">
        <w:rPr>
          <w:rFonts w:cstheme="minorHAnsi"/>
          <w:lang w:val="en-GB"/>
        </w:rPr>
        <w:t>we apply a score of 2.5</w:t>
      </w:r>
      <w:r w:rsidR="003D1052" w:rsidRPr="00A34CD9">
        <w:rPr>
          <w:rFonts w:cstheme="minorHAnsi"/>
          <w:lang w:val="en-GB"/>
        </w:rPr>
        <w:t xml:space="preserve"> to this attribute</w:t>
      </w:r>
      <w:r w:rsidR="00491199" w:rsidRPr="00A34CD9">
        <w:rPr>
          <w:rFonts w:cstheme="minorHAnsi"/>
          <w:lang w:val="en-GB"/>
        </w:rPr>
        <w:t xml:space="preserve"> of the FFI</w:t>
      </w:r>
      <w:r w:rsidR="00694D6B" w:rsidRPr="00A34CD9">
        <w:rPr>
          <w:rFonts w:cstheme="minorHAnsi"/>
          <w:lang w:val="en-GB"/>
        </w:rPr>
        <w:t xml:space="preserve"> (</w:t>
      </w:r>
      <w:r w:rsidR="00694D6B" w:rsidRPr="00A34CD9">
        <w:rPr>
          <w:rFonts w:cstheme="minorHAnsi"/>
          <w:noProof/>
          <w:color w:val="A6A6A6" w:themeColor="background1" w:themeShade="A6"/>
          <w:lang w:val="en-GB"/>
        </w:rPr>
        <w:t>Table 1</w:t>
      </w:r>
      <w:r w:rsidR="00694D6B" w:rsidRPr="00A34CD9">
        <w:rPr>
          <w:rFonts w:cstheme="minorHAnsi"/>
          <w:lang w:val="en-GB"/>
        </w:rPr>
        <w:t>)</w:t>
      </w:r>
      <w:r w:rsidR="00664E5B" w:rsidRPr="00A34CD9">
        <w:rPr>
          <w:rFonts w:cstheme="minorHAnsi"/>
          <w:lang w:val="en-GB"/>
        </w:rPr>
        <w:t>.</w:t>
      </w:r>
      <w:r w:rsidR="00B458BA" w:rsidRPr="00A34CD9">
        <w:rPr>
          <w:rFonts w:cstheme="minorHAnsi"/>
          <w:lang w:val="en-GB"/>
        </w:rPr>
        <w:t xml:space="preserve"> </w:t>
      </w:r>
      <w:r w:rsidR="00491199" w:rsidRPr="00A34CD9">
        <w:rPr>
          <w:rFonts w:cstheme="minorHAnsi"/>
          <w:lang w:val="en-GB"/>
        </w:rPr>
        <w:t xml:space="preserve">Finally, </w:t>
      </w:r>
      <w:r w:rsidR="00B458BA" w:rsidRPr="00A34CD9">
        <w:rPr>
          <w:rFonts w:cstheme="minorHAnsi"/>
          <w:lang w:val="en-GB"/>
        </w:rPr>
        <w:t>F</w:t>
      </w:r>
      <w:r w:rsidR="000D1CFE" w:rsidRPr="00A34CD9">
        <w:rPr>
          <w:rFonts w:cstheme="minorHAnsi"/>
          <w:lang w:val="en-GB"/>
        </w:rPr>
        <w:t xml:space="preserve">FI attributes were </w:t>
      </w:r>
      <w:r w:rsidR="00491199" w:rsidRPr="00A34CD9">
        <w:rPr>
          <w:rFonts w:cstheme="minorHAnsi"/>
          <w:lang w:val="en-GB"/>
        </w:rPr>
        <w:t xml:space="preserve">equally </w:t>
      </w:r>
      <w:r w:rsidR="000D1CFE" w:rsidRPr="00A34CD9">
        <w:rPr>
          <w:rFonts w:cstheme="minorHAnsi"/>
          <w:lang w:val="en-GB"/>
        </w:rPr>
        <w:t>weighted, and the P score was calculated as the average of the FFI attributes scores.</w:t>
      </w:r>
    </w:p>
    <w:p w14:paraId="0EE7DBD8" w14:textId="6BDDD757" w:rsidR="00D358E2" w:rsidRPr="00A34CD9" w:rsidRDefault="00D358E2" w:rsidP="002A528E">
      <w:pPr>
        <w:numPr>
          <w:ilvl w:val="2"/>
          <w:numId w:val="3"/>
        </w:numPr>
        <w:suppressLineNumbers/>
        <w:spacing w:line="480" w:lineRule="auto"/>
        <w:outlineLvl w:val="2"/>
        <w:rPr>
          <w:rFonts w:cstheme="minorHAnsi"/>
          <w:b/>
          <w:bCs/>
          <w:lang w:val="en-GB"/>
        </w:rPr>
      </w:pPr>
      <w:r w:rsidRPr="00A34CD9">
        <w:rPr>
          <w:rFonts w:cstheme="minorHAnsi"/>
          <w:b/>
          <w:bCs/>
          <w:lang w:val="en-GB"/>
        </w:rPr>
        <w:t>Susceptibility</w:t>
      </w:r>
    </w:p>
    <w:p w14:paraId="6FE99601" w14:textId="25F847F6" w:rsidR="00D358E2" w:rsidRPr="00A34CD9" w:rsidRDefault="0068557A" w:rsidP="002A528E">
      <w:pPr>
        <w:suppressLineNumbers/>
        <w:spacing w:line="480" w:lineRule="auto"/>
        <w:jc w:val="both"/>
        <w:rPr>
          <w:rFonts w:cstheme="minorHAnsi"/>
          <w:lang w:val="en-GB"/>
        </w:rPr>
      </w:pPr>
      <w:r w:rsidRPr="00A34CD9">
        <w:rPr>
          <w:rFonts w:cstheme="minorHAnsi"/>
          <w:lang w:val="en-GB"/>
        </w:rPr>
        <w:t>The susceptibility to each metier was assessed by year for the period 2013-2019</w:t>
      </w:r>
      <w:r w:rsidR="00E7570A" w:rsidRPr="00A34CD9">
        <w:rPr>
          <w:rFonts w:cstheme="minorHAnsi"/>
          <w:lang w:val="en-GB"/>
        </w:rPr>
        <w:t xml:space="preserve"> allowing to highlight the potential interaction areas through time to assess the temporal persistence of risk areas. The overall susceptibility</w:t>
      </w:r>
      <w:r w:rsidR="00CC1451" w:rsidRPr="00A34CD9">
        <w:rPr>
          <w:rFonts w:cstheme="minorHAnsi"/>
          <w:lang w:val="en-GB"/>
        </w:rPr>
        <w:t xml:space="preserve"> (S)</w:t>
      </w:r>
      <w:r w:rsidR="00E7570A" w:rsidRPr="00A34CD9">
        <w:rPr>
          <w:rFonts w:cstheme="minorHAnsi"/>
          <w:lang w:val="en-GB"/>
        </w:rPr>
        <w:t xml:space="preserve"> score was </w:t>
      </w:r>
      <w:r w:rsidR="00B74A7B" w:rsidRPr="00A34CD9">
        <w:rPr>
          <w:rFonts w:cstheme="minorHAnsi"/>
          <w:lang w:val="en-GB"/>
        </w:rPr>
        <w:t xml:space="preserve">calculated </w:t>
      </w:r>
      <w:r w:rsidR="001C4103" w:rsidRPr="00A34CD9">
        <w:rPr>
          <w:rFonts w:cstheme="minorHAnsi"/>
          <w:lang w:val="en-GB"/>
        </w:rPr>
        <w:t>independently for each year</w:t>
      </w:r>
      <w:r w:rsidR="00D02328" w:rsidRPr="00A34CD9">
        <w:rPr>
          <w:rFonts w:cstheme="minorHAnsi"/>
          <w:lang w:val="en-GB"/>
        </w:rPr>
        <w:t xml:space="preserve"> and gear</w:t>
      </w:r>
      <w:r w:rsidR="001C4103" w:rsidRPr="00A34CD9">
        <w:rPr>
          <w:rFonts w:cstheme="minorHAnsi"/>
          <w:lang w:val="en-GB"/>
        </w:rPr>
        <w:t xml:space="preserve"> </w:t>
      </w:r>
      <w:r w:rsidR="00B74A7B" w:rsidRPr="00A34CD9">
        <w:rPr>
          <w:rFonts w:cstheme="minorHAnsi"/>
          <w:lang w:val="en-GB"/>
        </w:rPr>
        <w:t>based on</w:t>
      </w:r>
      <w:r w:rsidR="00E7570A" w:rsidRPr="00A34CD9">
        <w:rPr>
          <w:rFonts w:cstheme="minorHAnsi"/>
          <w:lang w:val="en-GB"/>
        </w:rPr>
        <w:t xml:space="preserve"> five </w:t>
      </w:r>
      <w:r w:rsidR="00851DF9" w:rsidRPr="00A34CD9">
        <w:rPr>
          <w:rFonts w:cstheme="minorHAnsi"/>
          <w:lang w:val="en-GB"/>
        </w:rPr>
        <w:t>attributes</w:t>
      </w:r>
      <w:r w:rsidR="00D76F41" w:rsidRPr="00A34CD9">
        <w:rPr>
          <w:rFonts w:cstheme="minorHAnsi"/>
          <w:lang w:val="en-GB"/>
        </w:rPr>
        <w:t xml:space="preserve"> </w:t>
      </w:r>
      <w:r w:rsidR="00D76F41" w:rsidRPr="00A34CD9">
        <w:rPr>
          <w:rFonts w:cstheme="minorHAnsi"/>
          <w:lang w:val="en-GB"/>
        </w:rPr>
        <w:fldChar w:fldCharType="begin" w:fldLock="1"/>
      </w:r>
      <w:r w:rsidR="00AD1400" w:rsidRPr="00A34CD9">
        <w:rPr>
          <w:rFonts w:cstheme="minorHAnsi"/>
          <w:lang w:val="en-GB"/>
        </w:rPr>
        <w:instrText>ADDIN CSL_CITATION {"citationItems":[{"id":"ITEM-1","itemData":{"DOI":"10.1016/j.marpol.2014.09.009","ISSN":"0308-597X","author":[{"dropping-particle":"","family":"Brown","given":"Susie L","non-dropping-particle":"","parse-names":false,"suffix":""},{"dropping-particle":"","family":"Reid","given":"David","non-dropping-particle":"","parse-names":false,"suffix":""},{"dropping-particle":"","family":"Rogan","given":"Emer","non-dropping-particle":"","parse-names":false,"suffix":""}],"container-title":"Marine Policy","id":"ITEM-1","issued":{"date-parts":[["2015"]]},"page":"267-280","publisher":"Elsevier","title":"Spatial and temporal assessment of potential risk to cetaceans from static fishing gears","type":"article-journal","volume":"51"},"uris":["http://www.mendeley.com/documents/?uuid=4d7951e0-04cf-4f5f-945c-185f5afd0ae0"]}],"mendeley":{"formattedCitation":"(Brown &lt;i&gt;et al.&lt;/i&gt;, 2015)","plainTextFormattedCitation":"(Brown et al., 2015)","previouslyFormattedCitation":"(Brown &lt;i&gt;et al.&lt;/i&gt;, 2015)"},"properties":{"noteIndex":0},"schema":"https://github.com/citation-style-language/schema/raw/master/csl-citation.json"}</w:instrText>
      </w:r>
      <w:r w:rsidR="00D76F41" w:rsidRPr="00A34CD9">
        <w:rPr>
          <w:rFonts w:cstheme="minorHAnsi"/>
          <w:lang w:val="en-GB"/>
        </w:rPr>
        <w:fldChar w:fldCharType="separate"/>
      </w:r>
      <w:r w:rsidR="00D76F41" w:rsidRPr="00A34CD9">
        <w:rPr>
          <w:rFonts w:cstheme="minorHAnsi"/>
          <w:noProof/>
          <w:lang w:val="en-GB"/>
        </w:rPr>
        <w:t xml:space="preserve">(Brown </w:t>
      </w:r>
      <w:r w:rsidR="00D76F41" w:rsidRPr="00A34CD9">
        <w:rPr>
          <w:rFonts w:cstheme="minorHAnsi"/>
          <w:i/>
          <w:noProof/>
          <w:lang w:val="en-GB"/>
        </w:rPr>
        <w:t>et al.</w:t>
      </w:r>
      <w:r w:rsidR="00D76F41" w:rsidRPr="00A34CD9">
        <w:rPr>
          <w:rFonts w:cstheme="minorHAnsi"/>
          <w:noProof/>
          <w:lang w:val="en-GB"/>
        </w:rPr>
        <w:t>, 2015)</w:t>
      </w:r>
      <w:r w:rsidR="00D76F41" w:rsidRPr="00A34CD9">
        <w:rPr>
          <w:rFonts w:cstheme="minorHAnsi"/>
          <w:lang w:val="en-GB"/>
        </w:rPr>
        <w:fldChar w:fldCharType="end"/>
      </w:r>
      <w:r w:rsidR="00D76F41" w:rsidRPr="00A34CD9">
        <w:rPr>
          <w:rFonts w:cstheme="minorHAnsi"/>
          <w:lang w:val="en-GB"/>
        </w:rPr>
        <w:t xml:space="preserve">: availability (a), </w:t>
      </w:r>
      <w:proofErr w:type="spellStart"/>
      <w:r w:rsidR="00D76F41" w:rsidRPr="00A34CD9">
        <w:rPr>
          <w:rFonts w:cstheme="minorHAnsi"/>
          <w:lang w:val="en-GB"/>
        </w:rPr>
        <w:t>encounterability</w:t>
      </w:r>
      <w:proofErr w:type="spellEnd"/>
      <w:r w:rsidR="00D76F41" w:rsidRPr="00A34CD9">
        <w:rPr>
          <w:rFonts w:cstheme="minorHAnsi"/>
          <w:lang w:val="en-GB"/>
        </w:rPr>
        <w:t xml:space="preserve"> (e), exposure (ex), selectivity (s) and potential for lethal encounter (</w:t>
      </w:r>
      <w:proofErr w:type="spellStart"/>
      <w:r w:rsidR="00D76F41" w:rsidRPr="00A34CD9">
        <w:rPr>
          <w:rFonts w:cstheme="minorHAnsi"/>
          <w:lang w:val="en-GB"/>
        </w:rPr>
        <w:t>ple</w:t>
      </w:r>
      <w:proofErr w:type="spellEnd"/>
      <w:r w:rsidR="00D76F41" w:rsidRPr="00A34CD9">
        <w:rPr>
          <w:rFonts w:cstheme="minorHAnsi"/>
          <w:lang w:val="en-GB"/>
        </w:rPr>
        <w:t>). These attributes</w:t>
      </w:r>
      <w:r w:rsidR="00851DF9" w:rsidRPr="00A34CD9">
        <w:rPr>
          <w:rFonts w:cstheme="minorHAnsi"/>
          <w:lang w:val="en-GB"/>
        </w:rPr>
        <w:t xml:space="preserve"> scoring from 1 to 3</w:t>
      </w:r>
      <w:r w:rsidR="000D5661">
        <w:rPr>
          <w:rFonts w:cstheme="minorHAnsi"/>
          <w:lang w:val="en-GB"/>
        </w:rPr>
        <w:t>,</w:t>
      </w:r>
      <w:r w:rsidR="00851DF9" w:rsidRPr="00A34CD9">
        <w:rPr>
          <w:rFonts w:cstheme="minorHAnsi"/>
          <w:lang w:val="en-GB"/>
        </w:rPr>
        <w:t xml:space="preserve"> where 1 indicate low susceptibility and 3 high susceptibility</w:t>
      </w:r>
      <w:r w:rsidR="00D76F41" w:rsidRPr="00A34CD9">
        <w:rPr>
          <w:rFonts w:cstheme="minorHAnsi"/>
          <w:lang w:val="en-GB"/>
        </w:rPr>
        <w:t xml:space="preserve"> (see </w:t>
      </w:r>
      <w:r w:rsidR="00D76F41" w:rsidRPr="00A34CD9">
        <w:rPr>
          <w:rFonts w:cstheme="minorHAnsi"/>
          <w:noProof/>
          <w:color w:val="A6A6A6" w:themeColor="background1" w:themeShade="A6"/>
          <w:lang w:val="en-GB"/>
        </w:rPr>
        <w:t xml:space="preserve">Table </w:t>
      </w:r>
      <w:r w:rsidR="000D5121" w:rsidRPr="00A34CD9">
        <w:rPr>
          <w:rFonts w:cstheme="minorHAnsi"/>
          <w:noProof/>
          <w:color w:val="A6A6A6" w:themeColor="background1" w:themeShade="A6"/>
          <w:lang w:val="en-GB"/>
        </w:rPr>
        <w:t>1</w:t>
      </w:r>
      <w:r w:rsidR="00D76F41" w:rsidRPr="00A34CD9">
        <w:rPr>
          <w:rFonts w:cstheme="minorHAnsi"/>
          <w:lang w:val="en-GB"/>
        </w:rPr>
        <w:t>)</w:t>
      </w:r>
      <w:r w:rsidR="000D5661">
        <w:rPr>
          <w:rFonts w:cstheme="minorHAnsi"/>
          <w:lang w:val="en-GB"/>
        </w:rPr>
        <w:t xml:space="preserve">. Finally, </w:t>
      </w:r>
      <w:r w:rsidR="00D76F41" w:rsidRPr="00A34CD9">
        <w:rPr>
          <w:rFonts w:cstheme="minorHAnsi"/>
          <w:lang w:val="en-GB"/>
        </w:rPr>
        <w:t xml:space="preserve">the overall susceptibility score for each </w:t>
      </w:r>
      <w:r w:rsidR="000D5661">
        <w:rPr>
          <w:rFonts w:cstheme="minorHAnsi"/>
          <w:lang w:val="en-GB"/>
        </w:rPr>
        <w:t>metier</w:t>
      </w:r>
      <w:r w:rsidR="00D76F41" w:rsidRPr="00A34CD9">
        <w:rPr>
          <w:rFonts w:cstheme="minorHAnsi"/>
          <w:lang w:val="en-GB"/>
        </w:rPr>
        <w:t xml:space="preserve"> was calculated as a weighted geometric mean of these attributes </w:t>
      </w:r>
      <w:r w:rsidR="00D76F41" w:rsidRPr="00A34CD9">
        <w:rPr>
          <w:rFonts w:cstheme="minorHAnsi"/>
          <w:lang w:val="en-GB"/>
        </w:rPr>
        <w:fldChar w:fldCharType="begin" w:fldLock="1"/>
      </w:r>
      <w:r w:rsidR="00AD1400" w:rsidRPr="00A34CD9">
        <w:rPr>
          <w:rFonts w:cstheme="minorHAnsi"/>
          <w:lang w:val="en-GB"/>
        </w:rPr>
        <w:instrText>ADDIN CSL_CITATION {"citationItems":[{"id":"ITEM-1","itemData":{"DOI":"10.1016/j.marpol.2014.09.009","ISSN":"0308-597X","author":[{"dropping-particle":"","family":"Brown","given":"Susie L","non-dropping-particle":"","parse-names":false,"suffix":""},{"dropping-particle":"","family":"Reid","given":"David","non-dropping-particle":"","parse-names":false,"suffix":""},{"dropping-particle":"","family":"Rogan","given":"Emer","non-dropping-particle":"","parse-names":false,"suffix":""}],"container-title":"Marine Policy","id":"ITEM-1","issued":{"date-parts":[["2015"]]},"page":"267-280","publisher":"Elsevier","title":"Spatial and temporal assessment of potential risk to cetaceans from static fishing gears","type":"article-journal","volume":"51"},"uris":["http://www.mendeley.com/documents/?uuid=4d7951e0-04cf-4f5f-945c-185f5afd0ae0"]}],"mendeley":{"formattedCitation":"(Brown &lt;i&gt;et al.&lt;/i&gt;, 2015)","plainTextFormattedCitation":"(Brown et al., 2015)","previouslyFormattedCitation":"(Brown &lt;i&gt;et al.&lt;/i&gt;, 2015)"},"properties":{"noteIndex":0},"schema":"https://github.com/citation-style-language/schema/raw/master/csl-citation.json"}</w:instrText>
      </w:r>
      <w:r w:rsidR="00D76F41" w:rsidRPr="00A34CD9">
        <w:rPr>
          <w:rFonts w:cstheme="minorHAnsi"/>
          <w:lang w:val="en-GB"/>
        </w:rPr>
        <w:fldChar w:fldCharType="separate"/>
      </w:r>
      <w:r w:rsidR="00D76F41" w:rsidRPr="00A34CD9">
        <w:rPr>
          <w:rFonts w:cstheme="minorHAnsi"/>
          <w:noProof/>
          <w:lang w:val="en-GB"/>
        </w:rPr>
        <w:t xml:space="preserve">(Brown </w:t>
      </w:r>
      <w:r w:rsidR="00D76F41" w:rsidRPr="00A34CD9">
        <w:rPr>
          <w:rFonts w:cstheme="minorHAnsi"/>
          <w:i/>
          <w:noProof/>
          <w:lang w:val="en-GB"/>
        </w:rPr>
        <w:t>et al.</w:t>
      </w:r>
      <w:r w:rsidR="00D76F41" w:rsidRPr="00A34CD9">
        <w:rPr>
          <w:rFonts w:cstheme="minorHAnsi"/>
          <w:noProof/>
          <w:lang w:val="en-GB"/>
        </w:rPr>
        <w:t>, 2015)</w:t>
      </w:r>
      <w:r w:rsidR="00D76F41" w:rsidRPr="00A34CD9">
        <w:rPr>
          <w:rFonts w:cstheme="minorHAnsi"/>
          <w:lang w:val="en-GB"/>
        </w:rPr>
        <w:fldChar w:fldCharType="end"/>
      </w:r>
      <w:r w:rsidR="00E7570A" w:rsidRPr="00A34CD9">
        <w:rPr>
          <w:rFonts w:cstheme="minorHAnsi"/>
          <w:lang w:val="en-GB"/>
        </w:rPr>
        <w:t>:</w:t>
      </w:r>
    </w:p>
    <w:p w14:paraId="51E898F7" w14:textId="504637E2" w:rsidR="00CC1451" w:rsidRPr="00A34CD9" w:rsidRDefault="00CC1451" w:rsidP="002A528E">
      <w:pPr>
        <w:suppressLineNumbers/>
        <w:spacing w:line="480" w:lineRule="auto"/>
        <w:jc w:val="center"/>
        <w:rPr>
          <w:rFonts w:cstheme="minorHAnsi"/>
          <w:lang w:val="en-GB"/>
        </w:rPr>
      </w:pPr>
      <m:oMath>
        <m:r>
          <w:rPr>
            <w:rFonts w:ascii="Cambria Math" w:hAnsi="Cambria Math" w:cstheme="minorHAnsi"/>
            <w:sz w:val="20"/>
            <w:szCs w:val="20"/>
            <w:lang w:val="en-GB"/>
          </w:rPr>
          <m:t>S=</m:t>
        </m:r>
        <m:sSup>
          <m:sSupPr>
            <m:ctrlPr>
              <w:rPr>
                <w:rFonts w:ascii="Cambria Math" w:hAnsi="Cambria Math" w:cstheme="minorHAnsi"/>
                <w:i/>
                <w:sz w:val="20"/>
                <w:szCs w:val="20"/>
                <w:lang w:val="en-GB"/>
              </w:rPr>
            </m:ctrlPr>
          </m:sSupPr>
          <m:e>
            <m:d>
              <m:dPr>
                <m:ctrlPr>
                  <w:rPr>
                    <w:rFonts w:ascii="Cambria Math" w:hAnsi="Cambria Math" w:cstheme="minorHAnsi"/>
                    <w:i/>
                    <w:sz w:val="20"/>
                    <w:szCs w:val="20"/>
                    <w:lang w:val="en-GB"/>
                  </w:rPr>
                </m:ctrlPr>
              </m:dPr>
              <m:e>
                <m:sSup>
                  <m:sSupPr>
                    <m:ctrlPr>
                      <w:rPr>
                        <w:rFonts w:ascii="Cambria Math" w:hAnsi="Cambria Math" w:cstheme="minorHAnsi"/>
                        <w:i/>
                        <w:sz w:val="20"/>
                        <w:szCs w:val="20"/>
                        <w:lang w:val="en-GB"/>
                      </w:rPr>
                    </m:ctrlPr>
                  </m:sSupPr>
                  <m:e>
                    <m:r>
                      <w:rPr>
                        <w:rFonts w:ascii="Cambria Math" w:hAnsi="Cambria Math" w:cstheme="minorHAnsi"/>
                        <w:sz w:val="20"/>
                        <w:szCs w:val="20"/>
                        <w:lang w:val="en-GB"/>
                      </w:rPr>
                      <m:t>a</m:t>
                    </m:r>
                  </m:e>
                  <m:sup>
                    <m:r>
                      <w:rPr>
                        <w:rFonts w:ascii="Cambria Math" w:hAnsi="Cambria Math" w:cstheme="minorHAnsi"/>
                        <w:sz w:val="20"/>
                        <w:szCs w:val="20"/>
                        <w:lang w:val="en-GB"/>
                      </w:rPr>
                      <m:t>2</m:t>
                    </m:r>
                  </m:sup>
                </m:sSup>
                <m:r>
                  <w:rPr>
                    <w:rFonts w:ascii="Cambria Math" w:hAnsi="Cambria Math" w:cstheme="minorHAnsi"/>
                    <w:sz w:val="20"/>
                    <w:szCs w:val="20"/>
                    <w:lang w:val="en-GB"/>
                  </w:rPr>
                  <m:t xml:space="preserve">×e × </m:t>
                </m:r>
                <m:sSup>
                  <m:sSupPr>
                    <m:ctrlPr>
                      <w:rPr>
                        <w:rFonts w:ascii="Cambria Math" w:hAnsi="Cambria Math" w:cstheme="minorHAnsi"/>
                        <w:i/>
                        <w:sz w:val="20"/>
                        <w:szCs w:val="20"/>
                        <w:lang w:val="en-GB"/>
                      </w:rPr>
                    </m:ctrlPr>
                  </m:sSupPr>
                  <m:e>
                    <m:r>
                      <w:rPr>
                        <w:rFonts w:ascii="Cambria Math" w:hAnsi="Cambria Math" w:cstheme="minorHAnsi"/>
                        <w:sz w:val="20"/>
                        <w:szCs w:val="20"/>
                        <w:lang w:val="en-GB"/>
                      </w:rPr>
                      <m:t>ex</m:t>
                    </m:r>
                  </m:e>
                  <m:sup>
                    <m:r>
                      <w:rPr>
                        <w:rFonts w:ascii="Cambria Math" w:hAnsi="Cambria Math" w:cstheme="minorHAnsi"/>
                        <w:sz w:val="20"/>
                        <w:szCs w:val="20"/>
                        <w:lang w:val="en-GB"/>
                      </w:rPr>
                      <m:t>2</m:t>
                    </m:r>
                  </m:sup>
                </m:sSup>
                <m:r>
                  <w:rPr>
                    <w:rFonts w:ascii="Cambria Math" w:hAnsi="Cambria Math" w:cstheme="minorHAnsi"/>
                    <w:sz w:val="20"/>
                    <w:szCs w:val="20"/>
                    <w:lang w:val="en-GB"/>
                  </w:rPr>
                  <m:t xml:space="preserve">× </m:t>
                </m:r>
                <m:sSup>
                  <m:sSupPr>
                    <m:ctrlPr>
                      <w:rPr>
                        <w:rFonts w:ascii="Cambria Math" w:hAnsi="Cambria Math" w:cstheme="minorHAnsi"/>
                        <w:i/>
                        <w:sz w:val="20"/>
                        <w:szCs w:val="20"/>
                        <w:lang w:val="en-GB"/>
                      </w:rPr>
                    </m:ctrlPr>
                  </m:sSupPr>
                  <m:e>
                    <m:r>
                      <w:rPr>
                        <w:rFonts w:ascii="Cambria Math" w:hAnsi="Cambria Math" w:cstheme="minorHAnsi"/>
                        <w:sz w:val="20"/>
                        <w:szCs w:val="20"/>
                        <w:lang w:val="en-GB"/>
                      </w:rPr>
                      <m:t>s</m:t>
                    </m:r>
                  </m:e>
                  <m:sup>
                    <m:r>
                      <w:rPr>
                        <w:rFonts w:ascii="Cambria Math" w:hAnsi="Cambria Math" w:cstheme="minorHAnsi"/>
                        <w:sz w:val="20"/>
                        <w:szCs w:val="20"/>
                        <w:lang w:val="en-GB"/>
                      </w:rPr>
                      <m:t>2</m:t>
                    </m:r>
                  </m:sup>
                </m:sSup>
                <m:r>
                  <w:rPr>
                    <w:rFonts w:ascii="Cambria Math" w:hAnsi="Cambria Math" w:cstheme="minorHAnsi"/>
                    <w:sz w:val="20"/>
                    <w:szCs w:val="20"/>
                    <w:lang w:val="en-GB"/>
                  </w:rPr>
                  <m:t xml:space="preserve"> ×ple</m:t>
                </m:r>
              </m:e>
            </m:d>
          </m:e>
          <m:sup>
            <m:r>
              <w:rPr>
                <w:rFonts w:ascii="Cambria Math" w:hAnsi="Cambria Math" w:cstheme="minorHAnsi"/>
                <w:sz w:val="20"/>
                <w:szCs w:val="20"/>
                <w:lang w:val="en-GB"/>
              </w:rPr>
              <m:t>1/8</m:t>
            </m:r>
          </m:sup>
        </m:sSup>
      </m:oMath>
      <w:r w:rsidR="00B74A7B" w:rsidRPr="00A34CD9">
        <w:rPr>
          <w:rFonts w:eastAsiaTheme="minorEastAsia" w:cstheme="minorHAnsi"/>
          <w:lang w:val="en-GB"/>
        </w:rPr>
        <w:tab/>
      </w:r>
      <w:r w:rsidRPr="00A34CD9">
        <w:rPr>
          <w:rFonts w:eastAsiaTheme="minorEastAsia" w:cstheme="minorHAnsi"/>
          <w:lang w:val="en-GB"/>
        </w:rPr>
        <w:t>(</w:t>
      </w:r>
      <w:r w:rsidR="00422FA2" w:rsidRPr="00A34CD9">
        <w:rPr>
          <w:rFonts w:eastAsiaTheme="minorEastAsia" w:cstheme="minorHAnsi"/>
          <w:lang w:val="en-GB"/>
        </w:rPr>
        <w:t>1</w:t>
      </w:r>
      <w:r w:rsidRPr="00A34CD9">
        <w:rPr>
          <w:rFonts w:eastAsiaTheme="minorEastAsia" w:cstheme="minorHAnsi"/>
          <w:lang w:val="en-GB"/>
        </w:rPr>
        <w:t>)</w:t>
      </w:r>
    </w:p>
    <w:p w14:paraId="69496855" w14:textId="2781015F" w:rsidR="00D358E2" w:rsidRPr="00A34CD9" w:rsidRDefault="00757BAD" w:rsidP="002A528E">
      <w:pPr>
        <w:pStyle w:val="Prrafodelista"/>
        <w:numPr>
          <w:ilvl w:val="0"/>
          <w:numId w:val="15"/>
        </w:numPr>
        <w:suppressLineNumbers/>
        <w:spacing w:line="480" w:lineRule="auto"/>
        <w:jc w:val="both"/>
        <w:rPr>
          <w:rFonts w:cstheme="minorHAnsi"/>
          <w:lang w:val="en-GB"/>
        </w:rPr>
      </w:pPr>
      <w:r w:rsidRPr="00A34CD9">
        <w:rPr>
          <w:rFonts w:cstheme="minorHAnsi"/>
          <w:lang w:val="en-GB"/>
        </w:rPr>
        <w:t xml:space="preserve">Availability: </w:t>
      </w:r>
      <w:r w:rsidR="00785C76" w:rsidRPr="00A34CD9">
        <w:rPr>
          <w:rFonts w:cstheme="minorHAnsi"/>
          <w:lang w:val="en-GB"/>
        </w:rPr>
        <w:t>an index of</w:t>
      </w:r>
      <w:r w:rsidR="00851DF9" w:rsidRPr="00A34CD9">
        <w:rPr>
          <w:rFonts w:cstheme="minorHAnsi"/>
          <w:lang w:val="en-GB"/>
        </w:rPr>
        <w:t xml:space="preserve"> co-occurrence of species distribution and fishing activity </w:t>
      </w:r>
      <w:r w:rsidR="00785C76" w:rsidRPr="00A34CD9">
        <w:rPr>
          <w:rFonts w:cstheme="minorHAnsi"/>
          <w:lang w:val="en-GB"/>
        </w:rPr>
        <w:fldChar w:fldCharType="begin" w:fldLock="1"/>
      </w:r>
      <w:r w:rsidR="0005371B" w:rsidRPr="00A34CD9">
        <w:rPr>
          <w:rFonts w:cstheme="minorHAnsi"/>
          <w:lang w:val="en-GB"/>
        </w:rPr>
        <w:instrText>ADDIN CSL_CITATION {"citationItems":[{"id":"ITEM-1","itemData":{"author":[{"dropping-particle":"","family":"Hobday","given":"A. J.","non-dropping-particle":"","parse-names":false,"suffix":""},{"dropping-particle":"","family":"Smith","given":"A.","non-dropping-particle":"","parse-names":false,"suffix":""},{"dropping-particle":"","family":"Webb","given":"H.","non-dropping-particle":"","parse-names":false,"suffix":""},{"dropping-particle":"","family":"Daley","given":"R.","non-dropping-particle":"","parse-names":false,"suffix":""},{"dropping-particle":"","family":"Wayte","given":"S.","non-dropping-particle":"","parse-names":false,"suffix":""},{"dropping-particle":"","family":"Bulman","given":"C.","non-dropping-particle":"","parse-names":false,"suffix":""},{"dropping-particle":"","family":"Dowdney","given":"J.","non-dropping-particle":"","parse-names":false,"suffix":""},{"dropping-particle":"","family":"Williams","given":"A.","non-dropping-particle":"","parse-names":false,"suffix":""},{"dropping-particle":"","family":"Sporcic","given":"M.","non-dropping-particle":"","parse-names":false,"suffix":""},{"dropping-particle":"","family":"Dambacher","given":"J.","non-dropping-particle":"","parse-names":false,"suffix":""},{"dropping-particle":"","family":"Fuller","given":"M.","non-dropping-particle":"","parse-names":false,"suffix":""},{"dropping-particle":"","family":"Walker","given":"T.","non-dropping-particle":"","parse-names":false,"suffix":""}],"id":"ITEM-1","issued":{"date-parts":[["2007"]]},"title":"Ecological Risk Assessment for the Effects of Fishing: Methodology. Report R04/1072 for the Australian Fisheries Management Authority, Canberra.","type":"report"},"uris":["http://www.mendeley.com/documents/?uuid=33e1b2c6-3f95-4191-adf6-db10b8cae5d4"]}],"mendeley":{"formattedCitation":"(Hobday &lt;i&gt;et al.&lt;/i&gt;, 2007)","plainTextFormattedCitation":"(Hobday et al., 2007)","previouslyFormattedCitation":"(Hobday &lt;i&gt;et al.&lt;/i&gt;, 2007)"},"properties":{"noteIndex":0},"schema":"https://github.com/citation-style-language/schema/raw/master/csl-citation.json"}</w:instrText>
      </w:r>
      <w:r w:rsidR="00785C76" w:rsidRPr="00A34CD9">
        <w:rPr>
          <w:rFonts w:cstheme="minorHAnsi"/>
          <w:lang w:val="en-GB"/>
        </w:rPr>
        <w:fldChar w:fldCharType="separate"/>
      </w:r>
      <w:r w:rsidR="00785C76" w:rsidRPr="00A34CD9">
        <w:rPr>
          <w:rFonts w:cstheme="minorHAnsi"/>
          <w:noProof/>
          <w:lang w:val="en-GB"/>
        </w:rPr>
        <w:t xml:space="preserve">(Hobday </w:t>
      </w:r>
      <w:r w:rsidR="00785C76" w:rsidRPr="00A34CD9">
        <w:rPr>
          <w:rFonts w:cstheme="minorHAnsi"/>
          <w:i/>
          <w:noProof/>
          <w:lang w:val="en-GB"/>
        </w:rPr>
        <w:t>et al.</w:t>
      </w:r>
      <w:r w:rsidR="00785C76" w:rsidRPr="00A34CD9">
        <w:rPr>
          <w:rFonts w:cstheme="minorHAnsi"/>
          <w:noProof/>
          <w:lang w:val="en-GB"/>
        </w:rPr>
        <w:t>, 2007)</w:t>
      </w:r>
      <w:r w:rsidR="00785C76" w:rsidRPr="00A34CD9">
        <w:rPr>
          <w:rFonts w:cstheme="minorHAnsi"/>
          <w:lang w:val="en-GB"/>
        </w:rPr>
        <w:fldChar w:fldCharType="end"/>
      </w:r>
      <w:r w:rsidR="003D2B65" w:rsidRPr="00A34CD9">
        <w:rPr>
          <w:rFonts w:cstheme="minorHAnsi"/>
          <w:lang w:val="en-GB"/>
        </w:rPr>
        <w:t xml:space="preserve"> in terms of percentage of overlap</w:t>
      </w:r>
      <w:r w:rsidR="00785C76" w:rsidRPr="00A34CD9">
        <w:rPr>
          <w:rFonts w:cstheme="minorHAnsi"/>
          <w:lang w:val="en-GB"/>
        </w:rPr>
        <w:t xml:space="preserve">. </w:t>
      </w:r>
      <w:r w:rsidR="003D2B65" w:rsidRPr="00A34CD9">
        <w:rPr>
          <w:rFonts w:cstheme="minorHAnsi"/>
          <w:lang w:val="en-GB"/>
        </w:rPr>
        <w:t xml:space="preserve">Spatial information on the species distributions was obtained from the predictions of the density surface models and the fishing activity </w:t>
      </w:r>
      <w:r w:rsidR="00851DF9" w:rsidRPr="00A34CD9">
        <w:rPr>
          <w:rFonts w:cstheme="minorHAnsi"/>
          <w:lang w:val="en-GB"/>
        </w:rPr>
        <w:t>of each metier</w:t>
      </w:r>
      <w:r w:rsidR="003D2B65" w:rsidRPr="00A34CD9">
        <w:rPr>
          <w:rFonts w:cstheme="minorHAnsi"/>
          <w:lang w:val="en-GB"/>
        </w:rPr>
        <w:t xml:space="preserve"> from the VMS and logbook data. Since all the study area can be consider as occurrence area for great shearwaters we delimited the species distribution</w:t>
      </w:r>
      <w:r w:rsidR="00AD1400" w:rsidRPr="00A34CD9">
        <w:rPr>
          <w:rFonts w:cstheme="minorHAnsi"/>
          <w:lang w:val="en-GB"/>
        </w:rPr>
        <w:t xml:space="preserve"> as their critical area based on the methodology used in </w:t>
      </w:r>
      <w:r w:rsidR="00AD1400" w:rsidRPr="00A34CD9">
        <w:rPr>
          <w:rFonts w:cstheme="minorHAnsi"/>
          <w:lang w:val="en-GB"/>
        </w:rPr>
        <w:fldChar w:fldCharType="begin" w:fldLock="1"/>
      </w:r>
      <w:r w:rsidR="00853608" w:rsidRPr="00A34CD9">
        <w:rPr>
          <w:rFonts w:cstheme="minorHAnsi"/>
          <w:lang w:val="en-GB"/>
        </w:rPr>
        <w:instrText>ADDIN CSL_CITATION {"citationItems":[{"id":"ITEM-1","itemData":{"DOI":"10.1111/ddi.12877","ISSN":"14724642","abstract":"Aim: During their migration, highly mobile species cross multiple jurisdictional boundaries and multiple not-specific marine protected areas (MPAs). When identifying the critical habitats where individuals aggregate, these areas can be ideal candidates for MPAs. This study was focused on the endangered fin whale (Balaenoptera physalus) for which there is little knowledge on its distribution and abundance in non-breeding temperate latitudes. Location: Bay of Biscay (BoB). Methods: Firstly, we modelled the relative abundance of fin whales by means of generalized additive models (GAMs) using data collected on the PELACUS (2007–2008) and JUVENA (2013–2016) oceanographic surveys during late summer. Secondly, we evaluated the reliability of the predictions by distinguishing environmental extrapolations and interpolations. Finally, we identified critical areas of highest predicted abundance and we assessed whether existing MPAs comprised within the Natura 2000 network and designated for other species offer protection to fin whales in the BoB. Results: Fin whales were especially abundant in deep off-shore waters, mainly associated with intermediate temperature water values in the inner part of the BoB. The years with the highest relative predicted abundances (an average of 1,500 whales) matched with years when warmer sea surface temperature extended into larger areas. In colder years, the average predicted abundance dropped to 400 whales. The main critical area for fin whales (defined by the highest 40% of abundance) was common for both surveys, and it was located in the south-eastern part of the BoB. Main conclusions: Our study contributes to the identification of important concentration areas of fin whales during late summer, based on reliable spatial predictions. The assessment of the current Natura 2000 network highlights the fact that only three MPAs marginally covered the critical area we have identified for fin whales. We propose a transboundary potential MPA to aid the conservation of the species in the BoB.","author":[{"dropping-particle":"","family":"García-Barón","given":"Isabel","non-dropping-particle":"","parse-names":false,"suffix":""},{"dropping-particle":"","family":"Authier","given":"Matthieu","non-dropping-particle":"","parse-names":false,"suffix":""},{"dropping-particle":"","family":"Caballero","given":"Ainhoa","non-dropping-particle":"","parse-names":false,"suffix":""},{"dropping-particle":"","family":"Vázquez","given":"José A.","non-dropping-particle":"","parse-names":false,"suffix":""},{"dropping-particle":"","family":"Santos","given":"M. Begoña","non-dropping-particle":"","parse-names":false,"suffix":""},{"dropping-particle":"","family":"Murcia","given":"José Luis","non-dropping-particle":"","parse-names":false,"suffix":""},{"dropping-particle":"","family":"Louzao","given":"Maite","non-dropping-particle":"","parse-names":false,"suffix":""}],"container-title":"Diversity and Distributions","id":"ITEM-1","issue":"3","issued":{"date-parts":[["2019","3","1"]]},"page":"346-360","publisher":"Blackwell Publishing Ltd","title":"Modelling the spatial abundance of a migratory predator: A call for transboundary marine protected areas","type":"article-journal","volume":"25"},"uris":["http://www.mendeley.com/documents/?uuid=de43059d-9bb8-33ab-b511-9f4ea9bc2ad4"]}],"mendeley":{"formattedCitation":"(García-Barón &lt;i&gt;et al.&lt;/i&gt;, 2019)","manualFormatting":"García-Barón et al. (2019)","plainTextFormattedCitation":"(García-Barón et al., 2019)","previouslyFormattedCitation":"(García-Barón &lt;i&gt;et al.&lt;/i&gt;, 2019)"},"properties":{"noteIndex":0},"schema":"https://github.com/citation-style-language/schema/raw/master/csl-citation.json"}</w:instrText>
      </w:r>
      <w:r w:rsidR="00AD1400" w:rsidRPr="00A34CD9">
        <w:rPr>
          <w:rFonts w:cstheme="minorHAnsi"/>
          <w:lang w:val="en-GB"/>
        </w:rPr>
        <w:fldChar w:fldCharType="separate"/>
      </w:r>
      <w:r w:rsidR="00AD1400" w:rsidRPr="00A34CD9">
        <w:rPr>
          <w:rFonts w:cstheme="minorHAnsi"/>
          <w:noProof/>
          <w:lang w:val="en-GB"/>
        </w:rPr>
        <w:t xml:space="preserve">García-Barón </w:t>
      </w:r>
      <w:r w:rsidR="00AD1400" w:rsidRPr="00A34CD9">
        <w:rPr>
          <w:rFonts w:cstheme="minorHAnsi"/>
          <w:i/>
          <w:noProof/>
          <w:lang w:val="en-GB"/>
        </w:rPr>
        <w:t>et al.</w:t>
      </w:r>
      <w:r w:rsidR="00AD1400" w:rsidRPr="00A34CD9">
        <w:rPr>
          <w:rFonts w:cstheme="minorHAnsi"/>
          <w:noProof/>
          <w:lang w:val="en-GB"/>
        </w:rPr>
        <w:t xml:space="preserve"> (2019)</w:t>
      </w:r>
      <w:r w:rsidR="00AD1400" w:rsidRPr="00A34CD9">
        <w:rPr>
          <w:rFonts w:cstheme="minorHAnsi"/>
          <w:lang w:val="en-GB"/>
        </w:rPr>
        <w:fldChar w:fldCharType="end"/>
      </w:r>
      <w:r w:rsidR="00AD1400" w:rsidRPr="00A34CD9">
        <w:rPr>
          <w:rFonts w:cstheme="minorHAnsi"/>
          <w:lang w:val="en-GB"/>
        </w:rPr>
        <w:t xml:space="preserve">, </w:t>
      </w:r>
      <w:r w:rsidR="00AD1400" w:rsidRPr="00A34CD9">
        <w:rPr>
          <w:rFonts w:cstheme="minorHAnsi"/>
          <w:i/>
          <w:iCs/>
          <w:lang w:val="en-GB"/>
        </w:rPr>
        <w:t xml:space="preserve">i.e., </w:t>
      </w:r>
      <w:r w:rsidR="00AD1400" w:rsidRPr="00A34CD9">
        <w:rPr>
          <w:rFonts w:cstheme="minorHAnsi"/>
          <w:lang w:val="en-GB"/>
        </w:rPr>
        <w:t>the highest 40% of the predicted abundance</w:t>
      </w:r>
      <w:r w:rsidR="006C037E" w:rsidRPr="00A34CD9">
        <w:rPr>
          <w:rFonts w:cstheme="minorHAnsi"/>
          <w:lang w:val="en-GB"/>
        </w:rPr>
        <w:t>.</w:t>
      </w:r>
    </w:p>
    <w:p w14:paraId="4B5B59DF" w14:textId="77819C0B" w:rsidR="0048768A" w:rsidRPr="00A34CD9" w:rsidRDefault="0048768A" w:rsidP="002A528E">
      <w:pPr>
        <w:pStyle w:val="Prrafodelista"/>
        <w:numPr>
          <w:ilvl w:val="0"/>
          <w:numId w:val="15"/>
        </w:numPr>
        <w:suppressLineNumbers/>
        <w:spacing w:line="480" w:lineRule="auto"/>
        <w:jc w:val="both"/>
        <w:rPr>
          <w:rFonts w:cstheme="minorHAnsi"/>
          <w:lang w:val="en-GB"/>
        </w:rPr>
      </w:pPr>
      <w:proofErr w:type="spellStart"/>
      <w:r w:rsidRPr="00A34CD9">
        <w:rPr>
          <w:rFonts w:cstheme="minorHAnsi"/>
          <w:lang w:val="en-GB"/>
        </w:rPr>
        <w:t>E</w:t>
      </w:r>
      <w:r w:rsidR="00785C76" w:rsidRPr="00A34CD9">
        <w:rPr>
          <w:rFonts w:cstheme="minorHAnsi"/>
          <w:lang w:val="en-GB"/>
        </w:rPr>
        <w:t>ncounterability</w:t>
      </w:r>
      <w:proofErr w:type="spellEnd"/>
      <w:r w:rsidRPr="00A34CD9">
        <w:rPr>
          <w:rFonts w:cstheme="minorHAnsi"/>
          <w:lang w:val="en-GB"/>
        </w:rPr>
        <w:t xml:space="preserve">: </w:t>
      </w:r>
      <w:r w:rsidR="00E3326F" w:rsidRPr="00A34CD9">
        <w:rPr>
          <w:rFonts w:cstheme="minorHAnsi"/>
          <w:noProof/>
          <w:lang w:val="en-GB"/>
        </w:rPr>
        <w:t>score</w:t>
      </w:r>
      <w:r w:rsidR="00205A07" w:rsidRPr="00A34CD9">
        <w:rPr>
          <w:rFonts w:cstheme="minorHAnsi"/>
          <w:noProof/>
          <w:lang w:val="en-GB"/>
        </w:rPr>
        <w:t xml:space="preserve"> </w:t>
      </w:r>
      <w:r w:rsidR="000D5661">
        <w:rPr>
          <w:rFonts w:cstheme="minorHAnsi"/>
          <w:noProof/>
          <w:lang w:val="en-GB"/>
        </w:rPr>
        <w:t xml:space="preserve">derived </w:t>
      </w:r>
      <w:r w:rsidR="00205A07" w:rsidRPr="00A34CD9">
        <w:rPr>
          <w:rFonts w:cstheme="minorHAnsi"/>
          <w:noProof/>
          <w:lang w:val="en-GB"/>
        </w:rPr>
        <w:t>from</w:t>
      </w:r>
      <w:r w:rsidR="006B1B14" w:rsidRPr="00A34CD9">
        <w:rPr>
          <w:rFonts w:cstheme="minorHAnsi"/>
          <w:noProof/>
          <w:lang w:val="en-GB"/>
        </w:rPr>
        <w:t xml:space="preserve"> </w:t>
      </w:r>
      <w:r w:rsidR="006B1B14" w:rsidRPr="00A34CD9">
        <w:rPr>
          <w:rFonts w:cstheme="minorHAnsi"/>
          <w:noProof/>
          <w:lang w:val="en-GB"/>
        </w:rPr>
        <w:fldChar w:fldCharType="begin" w:fldLock="1"/>
      </w:r>
      <w:r w:rsidR="006B1B14" w:rsidRPr="00A34CD9">
        <w:rPr>
          <w:rFonts w:cstheme="minorHAnsi"/>
          <w:noProof/>
          <w:lang w:val="en-GB"/>
        </w:rPr>
        <w:instrText>ADDIN CSL_CITATION {"citationItems":[{"id":"ITEM-1","itemData":{"author":[{"dropping-particle":"","family":"Hobday","given":"A. J.","non-dropping-particle":"","parse-names":false,"suffix":""},{"dropping-particle":"","family":"Smith","given":"A.","non-dropping-particle":"","parse-names":false,"suffix":""},{"dropping-particle":"","family":"Webb","given":"H.","non-dropping-particle":"","parse-names":false,"suffix":""},{"dropping-particle":"","family":"Daley","given":"R.","non-dropping-particle":"","parse-names":false,"suffix":""},{"dropping-particle":"","family":"Wayte","given":"S.","non-dropping-particle":"","parse-names":false,"suffix":""},{"dropping-particle":"","family":"Bulman","given":"C.","non-dropping-particle":"","parse-names":false,"suffix":""},{"dropping-particle":"","family":"Dowdney","given":"J.","non-dropping-particle":"","parse-names":false,"suffix":""},{"dropping-particle":"","family":"Williams","given":"A.","non-dropping-particle":"","parse-names":false,"suffix":""},{"dropping-particle":"","family":"Sporcic","given":"M.","non-dropping-particle":"","parse-names":false,"suffix":""},{"dropping-particle":"","family":"Dambacher","given":"J.","non-dropping-particle":"","parse-names":false,"suffix":""},{"dropping-particle":"","family":"Fuller","given":"M.","non-dropping-particle":"","parse-names":false,"suffix":""},{"dropping-particle":"","family":"Walker","given":"T.","non-dropping-particle":"","parse-names":false,"suffix":""}],"id":"ITEM-1","issued":{"date-parts":[["2007"]]},"title":"Ecological Risk Assessment for the Effects of Fishing: Methodology. Report R04/1072 for the Australian Fisheries Management Authority, Canberra.","type":"report"},"uris":["http://www.mendeley.com/documents/?uuid=33e1b2c6-3f95-4191-adf6-db10b8cae5d4"]}],"mendeley":{"formattedCitation":"(Hobday &lt;i&gt;et al.&lt;/i&gt;, 2007)","manualFormatting":"Hobday et al. (2007)","plainTextFormattedCitation":"(Hobday et al., 2007)","previouslyFormattedCitation":"(Hobday &lt;i&gt;et al.&lt;/i&gt;, 2007)"},"properties":{"noteIndex":0},"schema":"https://github.com/citation-style-language/schema/raw/master/csl-citation.json"}</w:instrText>
      </w:r>
      <w:r w:rsidR="006B1B14" w:rsidRPr="00A34CD9">
        <w:rPr>
          <w:rFonts w:cstheme="minorHAnsi"/>
          <w:noProof/>
          <w:lang w:val="en-GB"/>
        </w:rPr>
        <w:fldChar w:fldCharType="separate"/>
      </w:r>
      <w:r w:rsidR="006B1B14" w:rsidRPr="00A34CD9">
        <w:rPr>
          <w:rFonts w:cstheme="minorHAnsi"/>
          <w:noProof/>
          <w:lang w:val="en-GB"/>
        </w:rPr>
        <w:t xml:space="preserve">Hobday </w:t>
      </w:r>
      <w:r w:rsidR="006B1B14" w:rsidRPr="00A34CD9">
        <w:rPr>
          <w:rFonts w:cstheme="minorHAnsi"/>
          <w:i/>
          <w:noProof/>
          <w:lang w:val="en-GB"/>
        </w:rPr>
        <w:t>et al.</w:t>
      </w:r>
      <w:r w:rsidR="006B1B14" w:rsidRPr="00A34CD9">
        <w:rPr>
          <w:rFonts w:cstheme="minorHAnsi"/>
          <w:noProof/>
          <w:lang w:val="en-GB"/>
        </w:rPr>
        <w:t xml:space="preserve"> (2007)</w:t>
      </w:r>
      <w:r w:rsidR="006B1B14" w:rsidRPr="00A34CD9">
        <w:rPr>
          <w:rFonts w:cstheme="minorHAnsi"/>
          <w:noProof/>
          <w:lang w:val="en-GB"/>
        </w:rPr>
        <w:fldChar w:fldCharType="end"/>
      </w:r>
      <w:r w:rsidR="006B1B14" w:rsidRPr="00A34CD9">
        <w:rPr>
          <w:rFonts w:cstheme="minorHAnsi"/>
          <w:noProof/>
          <w:lang w:val="en-GB"/>
        </w:rPr>
        <w:t xml:space="preserve"> </w:t>
      </w:r>
      <w:r w:rsidR="000D5661">
        <w:rPr>
          <w:rFonts w:cstheme="minorHAnsi"/>
          <w:noProof/>
          <w:lang w:val="en-GB"/>
        </w:rPr>
        <w:t xml:space="preserve">which </w:t>
      </w:r>
      <w:r w:rsidR="00E3326F" w:rsidRPr="00A34CD9">
        <w:rPr>
          <w:rFonts w:cstheme="minorHAnsi"/>
          <w:noProof/>
          <w:lang w:val="en-GB"/>
        </w:rPr>
        <w:t xml:space="preserve">assessed </w:t>
      </w:r>
      <w:r w:rsidR="00205A07" w:rsidRPr="00A34CD9">
        <w:rPr>
          <w:rFonts w:cstheme="minorHAnsi"/>
          <w:noProof/>
          <w:lang w:val="en-GB"/>
        </w:rPr>
        <w:t>the</w:t>
      </w:r>
      <w:r w:rsidR="00205A07" w:rsidRPr="00A34CD9">
        <w:rPr>
          <w:lang w:val="en-GB"/>
        </w:rPr>
        <w:t xml:space="preserve"> </w:t>
      </w:r>
      <w:r w:rsidR="00205A07" w:rsidRPr="00A34CD9">
        <w:rPr>
          <w:rFonts w:cstheme="minorHAnsi"/>
          <w:noProof/>
          <w:lang w:val="en-GB"/>
        </w:rPr>
        <w:t xml:space="preserve">potential for encounter with fishing gear based on species depth range in the water column in relation to the position of the fishing gear. </w:t>
      </w:r>
      <w:r w:rsidR="00083F3E" w:rsidRPr="00A34CD9">
        <w:rPr>
          <w:rFonts w:cstheme="minorHAnsi"/>
          <w:noProof/>
          <w:lang w:val="en-GB"/>
        </w:rPr>
        <w:t>I</w:t>
      </w:r>
      <w:r w:rsidR="00EA75AD" w:rsidRPr="00A34CD9">
        <w:rPr>
          <w:rFonts w:cstheme="minorHAnsi"/>
          <w:noProof/>
          <w:lang w:val="en-GB"/>
        </w:rPr>
        <w:t>n th</w:t>
      </w:r>
      <w:r w:rsidR="00D37218" w:rsidRPr="00A34CD9">
        <w:rPr>
          <w:rFonts w:cstheme="minorHAnsi"/>
          <w:noProof/>
          <w:lang w:val="en-GB"/>
        </w:rPr>
        <w:t xml:space="preserve">is study, the species is a </w:t>
      </w:r>
      <w:r w:rsidR="00776521" w:rsidRPr="00A34CD9">
        <w:rPr>
          <w:rFonts w:cstheme="minorHAnsi"/>
          <w:noProof/>
          <w:lang w:val="en-GB"/>
        </w:rPr>
        <w:t xml:space="preserve">shallow-diver species </w:t>
      </w:r>
      <w:r w:rsidR="00776521" w:rsidRPr="00A34CD9">
        <w:rPr>
          <w:rFonts w:cstheme="minorHAnsi"/>
          <w:noProof/>
          <w:lang w:val="en-GB"/>
        </w:rPr>
        <w:fldChar w:fldCharType="begin" w:fldLock="1"/>
      </w:r>
      <w:r w:rsidR="004D6265" w:rsidRPr="00A34CD9">
        <w:rPr>
          <w:rFonts w:cstheme="minorHAnsi"/>
          <w:noProof/>
          <w:lang w:val="en-GB"/>
        </w:rPr>
        <w:instrText>ADDIN CSL_CITATION {"citationItems":[{"id":"ITEM-1","itemData":{"DOI":"10.1371/journal.pone.0015508","ISSN":"19326203","abstract":"Among the most widespread seabirds in the world, shearwaters of the genus Puffinus are also some of the deepest diving members of the Procellariiformes. Maximum diving depths are known for several Puffinus species, but dive depths or diving behaviour have never been recorded for great shearwaters (P. gravis), the largest member of this genus. This study reports the first high sampling rate (2 s) of depth and diving behaviour for Puffinus shearwaters.","author":[{"dropping-particle":"","family":"Ronconi","given":"R.A.","non-dropping-particle":"","parse-names":false,"suffix":""},{"dropping-particle":"","family":"Ryan","given":"P.G.","non-dropping-particle":"","parse-names":false,"suffix":""},{"dropping-particle":"","family":"Ropert-Coudert","given":"Y.","non-dropping-particle":"","parse-names":false,"suffix":""}],"container-title":"PLoS ONE","editor":[{"dropping-particle":"","family":"Peter","given":"Hans-Ulrich","non-dropping-particle":"","parse-names":false,"suffix":""}],"id":"ITEM-1","issue":"11","issued":{"date-parts":[["2010","11","30"]]},"page":"e15508","title":"Diving of great shearwaters (Puffinus gravis) in cold and warm water regions of the South Atlantic Ocean","type":"article-journal","volume":"5"},"uris":["http://www.mendeley.com/documents/?uuid=92b85aed-b74d-3189-8892-fb03c5e41c24"]}],"mendeley":{"formattedCitation":"(Ronconi &lt;i&gt;et al.&lt;/i&gt;, 2010)","plainTextFormattedCitation":"(Ronconi et al., 2010)","previouslyFormattedCitation":"(Ronconi &lt;i&gt;et al.&lt;/i&gt;, 2010)"},"properties":{"noteIndex":0},"schema":"https://github.com/citation-style-language/schema/raw/master/csl-citation.json"}</w:instrText>
      </w:r>
      <w:r w:rsidR="00776521" w:rsidRPr="00A34CD9">
        <w:rPr>
          <w:rFonts w:cstheme="minorHAnsi"/>
          <w:noProof/>
          <w:lang w:val="en-GB"/>
        </w:rPr>
        <w:fldChar w:fldCharType="separate"/>
      </w:r>
      <w:r w:rsidR="00776521" w:rsidRPr="00A34CD9">
        <w:rPr>
          <w:rFonts w:cstheme="minorHAnsi"/>
          <w:noProof/>
          <w:lang w:val="en-GB"/>
        </w:rPr>
        <w:t xml:space="preserve">(Ronconi </w:t>
      </w:r>
      <w:r w:rsidR="00776521" w:rsidRPr="00A34CD9">
        <w:rPr>
          <w:rFonts w:cstheme="minorHAnsi"/>
          <w:i/>
          <w:noProof/>
          <w:lang w:val="en-GB"/>
        </w:rPr>
        <w:t>et al.</w:t>
      </w:r>
      <w:r w:rsidR="00776521" w:rsidRPr="00A34CD9">
        <w:rPr>
          <w:rFonts w:cstheme="minorHAnsi"/>
          <w:noProof/>
          <w:lang w:val="en-GB"/>
        </w:rPr>
        <w:t>, 2010)</w:t>
      </w:r>
      <w:r w:rsidR="00776521" w:rsidRPr="00A34CD9">
        <w:rPr>
          <w:rFonts w:cstheme="minorHAnsi"/>
          <w:noProof/>
          <w:lang w:val="en-GB"/>
        </w:rPr>
        <w:fldChar w:fldCharType="end"/>
      </w:r>
      <w:r w:rsidR="00776521" w:rsidRPr="00A34CD9">
        <w:rPr>
          <w:rFonts w:cstheme="minorHAnsi"/>
          <w:noProof/>
          <w:lang w:val="en-GB"/>
        </w:rPr>
        <w:t xml:space="preserve"> </w:t>
      </w:r>
      <w:r w:rsidR="002B2C62" w:rsidRPr="00A34CD9">
        <w:rPr>
          <w:rFonts w:cstheme="minorHAnsi"/>
          <w:noProof/>
          <w:lang w:val="en-GB"/>
        </w:rPr>
        <w:t>which access to the bait, both</w:t>
      </w:r>
      <w:r w:rsidR="0003017B" w:rsidRPr="00A34CD9">
        <w:rPr>
          <w:rFonts w:cstheme="minorHAnsi"/>
          <w:noProof/>
          <w:lang w:val="en-GB"/>
        </w:rPr>
        <w:t xml:space="preserve"> </w:t>
      </w:r>
      <w:r w:rsidR="002B2C62" w:rsidRPr="00A34CD9">
        <w:rPr>
          <w:rFonts w:cstheme="minorHAnsi"/>
          <w:noProof/>
          <w:lang w:val="en-GB"/>
        </w:rPr>
        <w:t>by diving or on the surface</w:t>
      </w:r>
      <w:r w:rsidR="00CF1CBB" w:rsidRPr="00A34CD9">
        <w:rPr>
          <w:rFonts w:cstheme="minorHAnsi"/>
          <w:noProof/>
          <w:lang w:val="en-GB"/>
        </w:rPr>
        <w:t xml:space="preserve"> and </w:t>
      </w:r>
      <w:r w:rsidR="00083F3E" w:rsidRPr="00A34CD9">
        <w:rPr>
          <w:rFonts w:cstheme="minorHAnsi"/>
          <w:noProof/>
          <w:lang w:val="en-GB"/>
        </w:rPr>
        <w:t xml:space="preserve">the studied metiers are </w:t>
      </w:r>
      <w:r w:rsidR="004E141B" w:rsidRPr="00A34CD9">
        <w:rPr>
          <w:rFonts w:cstheme="minorHAnsi"/>
          <w:noProof/>
          <w:lang w:val="en-GB"/>
        </w:rPr>
        <w:t>both surface gears fa</w:t>
      </w:r>
      <w:r w:rsidR="003F0AB6">
        <w:rPr>
          <w:rFonts w:cstheme="minorHAnsi"/>
          <w:noProof/>
          <w:lang w:val="en-GB"/>
        </w:rPr>
        <w:t>c</w:t>
      </w:r>
      <w:r w:rsidR="004E141B" w:rsidRPr="00A34CD9">
        <w:rPr>
          <w:rFonts w:cstheme="minorHAnsi"/>
          <w:noProof/>
          <w:lang w:val="en-GB"/>
        </w:rPr>
        <w:t>ilitating the access to the bait</w:t>
      </w:r>
      <w:r w:rsidR="00CF1CBB" w:rsidRPr="00A34CD9">
        <w:rPr>
          <w:rFonts w:cstheme="minorHAnsi"/>
          <w:noProof/>
          <w:lang w:val="en-GB"/>
        </w:rPr>
        <w:t>. Thus,</w:t>
      </w:r>
      <w:r w:rsidR="004E141B" w:rsidRPr="00A34CD9">
        <w:rPr>
          <w:rFonts w:cstheme="minorHAnsi"/>
          <w:noProof/>
          <w:lang w:val="en-GB"/>
        </w:rPr>
        <w:t xml:space="preserve"> </w:t>
      </w:r>
      <w:r w:rsidR="00EA75AD" w:rsidRPr="00A34CD9">
        <w:rPr>
          <w:rFonts w:cstheme="minorHAnsi"/>
          <w:noProof/>
          <w:lang w:val="en-GB"/>
        </w:rPr>
        <w:t xml:space="preserve">the encounterability was scored with the highest </w:t>
      </w:r>
      <w:r w:rsidR="0005371B" w:rsidRPr="00A34CD9">
        <w:rPr>
          <w:rFonts w:cstheme="minorHAnsi"/>
          <w:noProof/>
          <w:lang w:val="en-GB"/>
        </w:rPr>
        <w:t xml:space="preserve">possible </w:t>
      </w:r>
      <w:r w:rsidR="00EA75AD" w:rsidRPr="00A34CD9">
        <w:rPr>
          <w:rFonts w:cstheme="minorHAnsi"/>
          <w:noProof/>
          <w:lang w:val="en-GB"/>
        </w:rPr>
        <w:t>value</w:t>
      </w:r>
      <w:r w:rsidR="004E141B" w:rsidRPr="00A34CD9">
        <w:rPr>
          <w:rFonts w:cstheme="minorHAnsi"/>
          <w:noProof/>
          <w:lang w:val="en-GB"/>
        </w:rPr>
        <w:t>.</w:t>
      </w:r>
    </w:p>
    <w:p w14:paraId="1DEF0A8C" w14:textId="4ED25417" w:rsidR="00CD73FB" w:rsidRPr="00A34CD9" w:rsidRDefault="0005371B" w:rsidP="002A528E">
      <w:pPr>
        <w:pStyle w:val="Prrafodelista"/>
        <w:numPr>
          <w:ilvl w:val="0"/>
          <w:numId w:val="15"/>
        </w:numPr>
        <w:suppressLineNumbers/>
        <w:spacing w:line="480" w:lineRule="auto"/>
        <w:jc w:val="both"/>
        <w:rPr>
          <w:rFonts w:cstheme="minorHAnsi"/>
          <w:lang w:val="en-GB"/>
        </w:rPr>
      </w:pPr>
      <w:r w:rsidRPr="00A34CD9">
        <w:rPr>
          <w:rFonts w:cstheme="minorHAnsi"/>
          <w:noProof/>
          <w:lang w:val="en-GB"/>
        </w:rPr>
        <w:lastRenderedPageBreak/>
        <w:t xml:space="preserve">Exposure: score based on </w:t>
      </w:r>
      <w:r w:rsidR="00CD73FB" w:rsidRPr="00A34CD9">
        <w:rPr>
          <w:rFonts w:cstheme="minorHAnsi"/>
          <w:noProof/>
          <w:lang w:val="en-GB"/>
        </w:rPr>
        <w:t>the species abundance</w:t>
      </w:r>
      <w:r w:rsidR="007464F7" w:rsidRPr="00A34CD9">
        <w:rPr>
          <w:rFonts w:cstheme="minorHAnsi"/>
          <w:noProof/>
          <w:lang w:val="en-GB"/>
        </w:rPr>
        <w:t xml:space="preserve"> obtained from the </w:t>
      </w:r>
      <w:r w:rsidR="00CC5B2F" w:rsidRPr="00A34CD9">
        <w:rPr>
          <w:rFonts w:cstheme="minorHAnsi"/>
          <w:noProof/>
          <w:lang w:val="en-GB"/>
        </w:rPr>
        <w:t>density surface models</w:t>
      </w:r>
      <w:r w:rsidR="00CD73FB" w:rsidRPr="00A34CD9">
        <w:rPr>
          <w:rFonts w:cstheme="minorHAnsi"/>
          <w:noProof/>
          <w:lang w:val="en-GB"/>
        </w:rPr>
        <w:t xml:space="preserve"> and the fishing activity</w:t>
      </w:r>
      <w:r w:rsidR="00D02328" w:rsidRPr="00A34CD9">
        <w:rPr>
          <w:rFonts w:cstheme="minorHAnsi"/>
          <w:noProof/>
          <w:lang w:val="en-GB"/>
        </w:rPr>
        <w:t xml:space="preserve"> </w:t>
      </w:r>
      <w:r w:rsidR="00CD73FB" w:rsidRPr="00A34CD9">
        <w:rPr>
          <w:rFonts w:cstheme="minorHAnsi"/>
          <w:noProof/>
          <w:lang w:val="en-GB"/>
        </w:rPr>
        <w:t>per cell</w:t>
      </w:r>
      <w:r w:rsidR="00CC5B2F" w:rsidRPr="00A34CD9">
        <w:rPr>
          <w:rFonts w:cstheme="minorHAnsi"/>
          <w:noProof/>
          <w:lang w:val="en-GB"/>
        </w:rPr>
        <w:t xml:space="preserve"> obtained from the VMS and logbook data</w:t>
      </w:r>
      <w:r w:rsidR="00D200D0" w:rsidRPr="00A34CD9">
        <w:rPr>
          <w:rFonts w:cstheme="minorHAnsi"/>
          <w:noProof/>
          <w:lang w:val="en-GB"/>
        </w:rPr>
        <w:t xml:space="preserve"> </w:t>
      </w:r>
      <w:r w:rsidR="00D200D0" w:rsidRPr="00A34CD9">
        <w:rPr>
          <w:rFonts w:cstheme="minorHAnsi"/>
          <w:noProof/>
          <w:lang w:val="en-GB"/>
        </w:rPr>
        <w:fldChar w:fldCharType="begin" w:fldLock="1"/>
      </w:r>
      <w:r w:rsidR="00992F39" w:rsidRPr="00A34CD9">
        <w:rPr>
          <w:rFonts w:cstheme="minorHAnsi"/>
          <w:noProof/>
          <w:lang w:val="en-GB"/>
        </w:rPr>
        <w:instrText>ADDIN CSL_CITATION {"citationItems":[{"id":"ITEM-1","itemData":{"DOI":"10.1016/j.marpol.2014.09.009","ISSN":"0308-597X","author":[{"dropping-particle":"","family":"Brown","given":"Susie L","non-dropping-particle":"","parse-names":false,"suffix":""},{"dropping-particle":"","family":"Reid","given":"David","non-dropping-particle":"","parse-names":false,"suffix":""},{"dropping-particle":"","family":"Rogan","given":"Emer","non-dropping-particle":"","parse-names":false,"suffix":""}],"container-title":"Marine Policy","id":"ITEM-1","issued":{"date-parts":[["2015"]]},"page":"267-280","publisher":"Elsevier","title":"Spatial and temporal assessment of potential risk to cetaceans from static fishing gears","type":"article-journal","volume":"51"},"uris":["http://www.mendeley.com/documents/?uuid=4d7951e0-04cf-4f5f-945c-185f5afd0ae0"]}],"mendeley":{"formattedCitation":"(Brown &lt;i&gt;et al.&lt;/i&gt;, 2015)","plainTextFormattedCitation":"(Brown et al., 2015)","previouslyFormattedCitation":"(Brown &lt;i&gt;et al.&lt;/i&gt;, 2015)"},"properties":{"noteIndex":0},"schema":"https://github.com/citation-style-language/schema/raw/master/csl-citation.json"}</w:instrText>
      </w:r>
      <w:r w:rsidR="00D200D0" w:rsidRPr="00A34CD9">
        <w:rPr>
          <w:rFonts w:cstheme="minorHAnsi"/>
          <w:noProof/>
          <w:lang w:val="en-GB"/>
        </w:rPr>
        <w:fldChar w:fldCharType="separate"/>
      </w:r>
      <w:r w:rsidR="00D200D0" w:rsidRPr="00A34CD9">
        <w:rPr>
          <w:rFonts w:cstheme="minorHAnsi"/>
          <w:noProof/>
          <w:lang w:val="en-GB"/>
        </w:rPr>
        <w:t xml:space="preserve">(Brown </w:t>
      </w:r>
      <w:r w:rsidR="00D200D0" w:rsidRPr="00A34CD9">
        <w:rPr>
          <w:rFonts w:cstheme="minorHAnsi"/>
          <w:i/>
          <w:noProof/>
          <w:lang w:val="en-GB"/>
        </w:rPr>
        <w:t>et al.</w:t>
      </w:r>
      <w:r w:rsidR="00D200D0" w:rsidRPr="00A34CD9">
        <w:rPr>
          <w:rFonts w:cstheme="minorHAnsi"/>
          <w:noProof/>
          <w:lang w:val="en-GB"/>
        </w:rPr>
        <w:t>, 2015)</w:t>
      </w:r>
      <w:r w:rsidR="00D200D0" w:rsidRPr="00A34CD9">
        <w:rPr>
          <w:rFonts w:cstheme="minorHAnsi"/>
          <w:noProof/>
          <w:lang w:val="en-GB"/>
        </w:rPr>
        <w:fldChar w:fldCharType="end"/>
      </w:r>
      <w:r w:rsidR="001C4103" w:rsidRPr="00A34CD9">
        <w:rPr>
          <w:rFonts w:cstheme="minorHAnsi"/>
          <w:noProof/>
          <w:lang w:val="en-GB"/>
        </w:rPr>
        <w:t>:</w:t>
      </w:r>
    </w:p>
    <w:p w14:paraId="66CA84CA" w14:textId="64F3039D" w:rsidR="00A22936" w:rsidRPr="00A34CD9" w:rsidRDefault="00000000" w:rsidP="002A528E">
      <w:pPr>
        <w:pStyle w:val="Prrafodelista"/>
        <w:suppressLineNumbers/>
        <w:spacing w:line="480" w:lineRule="auto"/>
        <w:jc w:val="center"/>
        <w:rPr>
          <w:rFonts w:eastAsiaTheme="minorEastAsia" w:cstheme="minorHAnsi"/>
          <w:lang w:val="en-GB"/>
        </w:rPr>
      </w:pPr>
      <m:oMath>
        <m:sSub>
          <m:sSubPr>
            <m:ctrlPr>
              <w:rPr>
                <w:rFonts w:ascii="Cambria Math" w:hAnsi="Cambria Math" w:cstheme="minorHAnsi"/>
                <w:i/>
                <w:sz w:val="20"/>
                <w:szCs w:val="20"/>
                <w:lang w:val="en-GB"/>
              </w:rPr>
            </m:ctrlPr>
          </m:sSubPr>
          <m:e>
            <m:r>
              <w:rPr>
                <w:rFonts w:ascii="Cambria Math" w:hAnsi="Cambria Math" w:cstheme="minorHAnsi"/>
                <w:sz w:val="20"/>
                <w:szCs w:val="20"/>
                <w:lang w:val="en-GB"/>
              </w:rPr>
              <m:t>ex</m:t>
            </m:r>
          </m:e>
          <m:sub>
            <m:r>
              <w:rPr>
                <w:rFonts w:ascii="Cambria Math" w:hAnsi="Cambria Math" w:cstheme="minorHAnsi"/>
                <w:sz w:val="20"/>
                <w:szCs w:val="20"/>
                <w:lang w:val="en-GB"/>
              </w:rPr>
              <m:t>cell</m:t>
            </m:r>
          </m:sub>
        </m:sSub>
        <m:r>
          <w:rPr>
            <w:rFonts w:ascii="Cambria Math" w:hAnsi="Cambria Math" w:cstheme="minorHAnsi"/>
            <w:sz w:val="20"/>
            <w:szCs w:val="20"/>
            <w:lang w:val="en-GB"/>
          </w:rPr>
          <m:t>=</m:t>
        </m:r>
        <m:f>
          <m:fPr>
            <m:ctrlPr>
              <w:rPr>
                <w:rFonts w:ascii="Cambria Math" w:hAnsi="Cambria Math" w:cstheme="minorHAnsi"/>
                <w:i/>
                <w:sz w:val="20"/>
                <w:szCs w:val="20"/>
                <w:lang w:val="en-GB"/>
              </w:rPr>
            </m:ctrlPr>
          </m:fPr>
          <m:num>
            <m:sSub>
              <m:sSubPr>
                <m:ctrlPr>
                  <w:rPr>
                    <w:rFonts w:ascii="Cambria Math" w:hAnsi="Cambria Math" w:cstheme="minorHAnsi"/>
                    <w:i/>
                    <w:sz w:val="20"/>
                    <w:szCs w:val="20"/>
                    <w:lang w:val="en-GB"/>
                  </w:rPr>
                </m:ctrlPr>
              </m:sSubPr>
              <m:e>
                <m:r>
                  <w:rPr>
                    <w:rFonts w:ascii="Cambria Math" w:hAnsi="Cambria Math" w:cstheme="minorHAnsi"/>
                    <w:sz w:val="20"/>
                    <w:szCs w:val="20"/>
                    <w:lang w:val="en-GB"/>
                  </w:rPr>
                  <m:t>ab</m:t>
                </m:r>
              </m:e>
              <m:sub>
                <m:r>
                  <w:rPr>
                    <w:rFonts w:ascii="Cambria Math" w:hAnsi="Cambria Math" w:cstheme="minorHAnsi"/>
                    <w:sz w:val="20"/>
                    <w:szCs w:val="20"/>
                    <w:lang w:val="en-GB"/>
                  </w:rPr>
                  <m:t>cell</m:t>
                </m:r>
              </m:sub>
            </m:sSub>
            <m:r>
              <w:rPr>
                <w:rFonts w:ascii="Cambria Math" w:hAnsi="Cambria Math" w:cstheme="minorHAnsi"/>
                <w:sz w:val="20"/>
                <w:szCs w:val="20"/>
                <w:lang w:val="en-GB"/>
              </w:rPr>
              <m:t>×</m:t>
            </m:r>
            <m:sSub>
              <m:sSubPr>
                <m:ctrlPr>
                  <w:rPr>
                    <w:rFonts w:ascii="Cambria Math" w:hAnsi="Cambria Math" w:cstheme="minorHAnsi"/>
                    <w:i/>
                    <w:sz w:val="20"/>
                    <w:szCs w:val="20"/>
                    <w:lang w:val="en-GB"/>
                  </w:rPr>
                </m:ctrlPr>
              </m:sSubPr>
              <m:e>
                <m:r>
                  <w:rPr>
                    <w:rFonts w:ascii="Cambria Math" w:hAnsi="Cambria Math" w:cstheme="minorHAnsi"/>
                    <w:sz w:val="20"/>
                    <w:szCs w:val="20"/>
                    <w:lang w:val="en-GB"/>
                  </w:rPr>
                  <m:t>fishing activity</m:t>
                </m:r>
              </m:e>
              <m:sub>
                <m:r>
                  <w:rPr>
                    <w:rFonts w:ascii="Cambria Math" w:hAnsi="Cambria Math" w:cstheme="minorHAnsi"/>
                    <w:sz w:val="20"/>
                    <w:szCs w:val="20"/>
                    <w:lang w:val="en-GB"/>
                  </w:rPr>
                  <m:t>cell</m:t>
                </m:r>
              </m:sub>
            </m:sSub>
          </m:num>
          <m:den>
            <m:r>
              <w:rPr>
                <w:rFonts w:ascii="Cambria Math" w:hAnsi="Cambria Math" w:cstheme="minorHAnsi"/>
                <w:sz w:val="20"/>
                <w:szCs w:val="20"/>
                <w:lang w:val="en-GB"/>
              </w:rPr>
              <m:t>total ab</m:t>
            </m:r>
          </m:den>
        </m:f>
      </m:oMath>
      <w:r w:rsidR="00065B29" w:rsidRPr="00A34CD9">
        <w:rPr>
          <w:rFonts w:eastAsiaTheme="minorEastAsia" w:cstheme="minorHAnsi"/>
          <w:lang w:val="en-GB"/>
        </w:rPr>
        <w:tab/>
      </w:r>
      <w:r w:rsidR="00376D25" w:rsidRPr="00A34CD9">
        <w:rPr>
          <w:rFonts w:eastAsiaTheme="minorEastAsia" w:cstheme="minorHAnsi"/>
          <w:lang w:val="en-GB"/>
        </w:rPr>
        <w:t>(</w:t>
      </w:r>
      <w:r w:rsidR="00422FA2" w:rsidRPr="00A34CD9">
        <w:rPr>
          <w:rFonts w:eastAsiaTheme="minorEastAsia" w:cstheme="minorHAnsi"/>
          <w:lang w:val="en-GB"/>
        </w:rPr>
        <w:t>2</w:t>
      </w:r>
      <w:r w:rsidR="00376D25" w:rsidRPr="00A34CD9">
        <w:rPr>
          <w:rFonts w:eastAsiaTheme="minorEastAsia" w:cstheme="minorHAnsi"/>
          <w:lang w:val="en-GB"/>
        </w:rPr>
        <w:t>)</w:t>
      </w:r>
    </w:p>
    <w:p w14:paraId="1DB14555" w14:textId="3F84C171" w:rsidR="00D200D0" w:rsidRPr="00A34CD9" w:rsidRDefault="00D200D0" w:rsidP="002A528E">
      <w:pPr>
        <w:pStyle w:val="Prrafodelista"/>
        <w:suppressLineNumbers/>
        <w:spacing w:line="480" w:lineRule="auto"/>
        <w:jc w:val="both"/>
        <w:rPr>
          <w:rFonts w:cstheme="minorHAnsi"/>
          <w:lang w:val="en-GB"/>
        </w:rPr>
      </w:pPr>
      <w:r w:rsidRPr="00A34CD9">
        <w:rPr>
          <w:rFonts w:cstheme="minorHAnsi"/>
          <w:lang w:val="en-GB"/>
        </w:rPr>
        <w:t>Then, exposure per cell</w:t>
      </w:r>
      <w:r w:rsidR="009F7DFD" w:rsidRPr="00A34CD9">
        <w:rPr>
          <w:rFonts w:cstheme="minorHAnsi"/>
          <w:lang w:val="en-GB"/>
        </w:rPr>
        <w:t>, per year, was compared to mean exposure per cell</w:t>
      </w:r>
      <w:r w:rsidR="002202D9" w:rsidRPr="00A34CD9">
        <w:rPr>
          <w:rFonts w:cstheme="minorHAnsi"/>
          <w:lang w:val="en-GB"/>
        </w:rPr>
        <w:t xml:space="preserve"> assuming an even distribution of species and fishing activity over the time series and study area</w:t>
      </w:r>
      <w:r w:rsidR="000948E4" w:rsidRPr="00A34CD9">
        <w:rPr>
          <w:rFonts w:cstheme="minorHAnsi"/>
          <w:lang w:val="en-GB"/>
        </w:rPr>
        <w:t xml:space="preserve"> and </w:t>
      </w:r>
      <w:r w:rsidR="00D353CC" w:rsidRPr="00A34CD9">
        <w:rPr>
          <w:rFonts w:cstheme="minorHAnsi"/>
          <w:lang w:val="en-GB"/>
        </w:rPr>
        <w:t>log-</w:t>
      </w:r>
      <w:r w:rsidR="00894B00" w:rsidRPr="00A34CD9">
        <w:rPr>
          <w:rFonts w:cstheme="minorHAnsi"/>
          <w:lang w:val="en-GB"/>
        </w:rPr>
        <w:t>scale converted</w:t>
      </w:r>
      <w:r w:rsidR="007464F7" w:rsidRPr="00A34CD9">
        <w:rPr>
          <w:rFonts w:cstheme="minorHAnsi"/>
          <w:lang w:val="en-GB"/>
        </w:rPr>
        <w:t>:</w:t>
      </w:r>
    </w:p>
    <w:p w14:paraId="173B67EE" w14:textId="40F90891" w:rsidR="0075494F" w:rsidRPr="00A34CD9" w:rsidRDefault="00000000" w:rsidP="002A528E">
      <w:pPr>
        <w:pStyle w:val="Prrafodelista"/>
        <w:suppressLineNumbers/>
        <w:spacing w:line="480" w:lineRule="auto"/>
        <w:jc w:val="center"/>
        <w:rPr>
          <w:rFonts w:eastAsiaTheme="minorEastAsia" w:cstheme="minorHAnsi"/>
          <w:lang w:val="en-GB"/>
        </w:rPr>
      </w:pPr>
      <m:oMath>
        <m:sSub>
          <m:sSubPr>
            <m:ctrlPr>
              <w:rPr>
                <w:rFonts w:ascii="Cambria Math" w:hAnsi="Cambria Math" w:cstheme="minorHAnsi"/>
                <w:i/>
                <w:sz w:val="20"/>
                <w:szCs w:val="20"/>
                <w:lang w:val="en-GB"/>
              </w:rPr>
            </m:ctrlPr>
          </m:sSubPr>
          <m:e>
            <m:r>
              <w:rPr>
                <w:rFonts w:ascii="Cambria Math" w:hAnsi="Cambria Math" w:cstheme="minorHAnsi"/>
                <w:sz w:val="20"/>
                <w:szCs w:val="20"/>
                <w:lang w:val="en-GB"/>
              </w:rPr>
              <m:t>ex</m:t>
            </m:r>
          </m:e>
          <m:sub>
            <m:r>
              <w:rPr>
                <w:rFonts w:ascii="Cambria Math" w:hAnsi="Cambria Math" w:cstheme="minorHAnsi"/>
                <w:sz w:val="20"/>
                <w:szCs w:val="20"/>
                <w:lang w:val="en-GB"/>
              </w:rPr>
              <m:t>mean</m:t>
            </m:r>
          </m:sub>
        </m:sSub>
        <m:r>
          <w:rPr>
            <w:rFonts w:ascii="Cambria Math" w:hAnsi="Cambria Math" w:cstheme="minorHAnsi"/>
            <w:sz w:val="20"/>
            <w:szCs w:val="20"/>
            <w:lang w:val="en-GB"/>
          </w:rPr>
          <m:t>=</m:t>
        </m:r>
        <m:f>
          <m:fPr>
            <m:ctrlPr>
              <w:rPr>
                <w:rFonts w:ascii="Cambria Math" w:hAnsi="Cambria Math" w:cstheme="minorHAnsi"/>
                <w:i/>
                <w:sz w:val="20"/>
                <w:szCs w:val="20"/>
                <w:lang w:val="en-GB"/>
              </w:rPr>
            </m:ctrlPr>
          </m:fPr>
          <m:num>
            <m:sSub>
              <m:sSubPr>
                <m:ctrlPr>
                  <w:rPr>
                    <w:rFonts w:ascii="Cambria Math" w:hAnsi="Cambria Math" w:cstheme="minorHAnsi"/>
                    <w:i/>
                    <w:sz w:val="20"/>
                    <w:szCs w:val="20"/>
                    <w:lang w:val="en-GB"/>
                  </w:rPr>
                </m:ctrlPr>
              </m:sSubPr>
              <m:e>
                <m:r>
                  <w:rPr>
                    <w:rFonts w:ascii="Cambria Math" w:hAnsi="Cambria Math" w:cstheme="minorHAnsi"/>
                    <w:sz w:val="20"/>
                    <w:szCs w:val="20"/>
                    <w:lang w:val="en-GB"/>
                  </w:rPr>
                  <m:t>ab</m:t>
                </m:r>
              </m:e>
              <m:sub>
                <m:r>
                  <w:rPr>
                    <w:rFonts w:ascii="Cambria Math" w:hAnsi="Cambria Math" w:cstheme="minorHAnsi"/>
                    <w:sz w:val="20"/>
                    <w:szCs w:val="20"/>
                    <w:lang w:val="en-GB"/>
                  </w:rPr>
                  <m:t>mean,cell</m:t>
                </m:r>
              </m:sub>
            </m:sSub>
            <m:r>
              <w:rPr>
                <w:rFonts w:ascii="Cambria Math" w:hAnsi="Cambria Math" w:cstheme="minorHAnsi"/>
                <w:sz w:val="20"/>
                <w:szCs w:val="20"/>
                <w:lang w:val="en-GB"/>
              </w:rPr>
              <m:t>×</m:t>
            </m:r>
            <m:sSub>
              <m:sSubPr>
                <m:ctrlPr>
                  <w:rPr>
                    <w:rFonts w:ascii="Cambria Math" w:hAnsi="Cambria Math" w:cstheme="minorHAnsi"/>
                    <w:i/>
                    <w:sz w:val="20"/>
                    <w:szCs w:val="20"/>
                    <w:lang w:val="en-GB"/>
                  </w:rPr>
                </m:ctrlPr>
              </m:sSubPr>
              <m:e>
                <m:r>
                  <w:rPr>
                    <w:rFonts w:ascii="Cambria Math" w:hAnsi="Cambria Math" w:cstheme="minorHAnsi"/>
                    <w:sz w:val="20"/>
                    <w:szCs w:val="20"/>
                    <w:lang w:val="en-GB"/>
                  </w:rPr>
                  <m:t>fishing activity</m:t>
                </m:r>
              </m:e>
              <m:sub>
                <m:r>
                  <w:rPr>
                    <w:rFonts w:ascii="Cambria Math" w:hAnsi="Cambria Math" w:cstheme="minorHAnsi"/>
                    <w:sz w:val="20"/>
                    <w:szCs w:val="20"/>
                    <w:lang w:val="en-GB"/>
                  </w:rPr>
                  <m:t>mean,cell</m:t>
                </m:r>
              </m:sub>
            </m:sSub>
          </m:num>
          <m:den>
            <m:r>
              <w:rPr>
                <w:rFonts w:ascii="Cambria Math" w:hAnsi="Cambria Math" w:cstheme="minorHAnsi"/>
                <w:sz w:val="20"/>
                <w:szCs w:val="20"/>
                <w:lang w:val="en-GB"/>
              </w:rPr>
              <m:t>total ab</m:t>
            </m:r>
          </m:den>
        </m:f>
      </m:oMath>
      <w:r w:rsidR="00065B29" w:rsidRPr="00A34CD9">
        <w:rPr>
          <w:rFonts w:eastAsiaTheme="minorEastAsia" w:cstheme="minorHAnsi"/>
          <w:lang w:val="en-GB"/>
        </w:rPr>
        <w:tab/>
        <w:t>(3)</w:t>
      </w:r>
    </w:p>
    <w:p w14:paraId="2CCA6F2E" w14:textId="4681558E" w:rsidR="00065B29" w:rsidRPr="00A34CD9" w:rsidRDefault="00000000" w:rsidP="002A528E">
      <w:pPr>
        <w:pStyle w:val="Prrafodelista"/>
        <w:suppressLineNumbers/>
        <w:spacing w:line="480" w:lineRule="auto"/>
        <w:jc w:val="center"/>
        <w:rPr>
          <w:rFonts w:cstheme="minorHAnsi"/>
          <w:lang w:val="en-GB"/>
        </w:rPr>
      </w:pPr>
      <m:oMath>
        <m:sSub>
          <m:sSubPr>
            <m:ctrlPr>
              <w:rPr>
                <w:rFonts w:ascii="Cambria Math" w:hAnsi="Cambria Math" w:cstheme="minorHAnsi"/>
                <w:i/>
                <w:sz w:val="20"/>
                <w:szCs w:val="20"/>
                <w:lang w:val="en-GB"/>
              </w:rPr>
            </m:ctrlPr>
          </m:sSubPr>
          <m:e>
            <m:r>
              <w:rPr>
                <w:rFonts w:ascii="Cambria Math" w:hAnsi="Cambria Math" w:cstheme="minorHAnsi"/>
                <w:sz w:val="20"/>
                <w:szCs w:val="20"/>
                <w:lang w:val="en-GB"/>
              </w:rPr>
              <m:t>ex</m:t>
            </m:r>
          </m:e>
          <m:sub>
            <m:r>
              <w:rPr>
                <w:rFonts w:ascii="Cambria Math" w:hAnsi="Cambria Math" w:cstheme="minorHAnsi"/>
                <w:sz w:val="20"/>
                <w:szCs w:val="20"/>
                <w:lang w:val="en-GB"/>
              </w:rPr>
              <m:t>score</m:t>
            </m:r>
          </m:sub>
        </m:sSub>
        <m:r>
          <w:rPr>
            <w:rFonts w:ascii="Cambria Math" w:hAnsi="Cambria Math" w:cstheme="minorHAnsi"/>
            <w:sz w:val="20"/>
            <w:szCs w:val="20"/>
            <w:lang w:val="en-GB"/>
          </w:rPr>
          <m:t>=</m:t>
        </m:r>
        <m:sSub>
          <m:sSubPr>
            <m:ctrlPr>
              <w:rPr>
                <w:rFonts w:ascii="Cambria Math" w:hAnsi="Cambria Math" w:cstheme="minorHAnsi"/>
                <w:i/>
                <w:sz w:val="20"/>
                <w:szCs w:val="20"/>
                <w:lang w:val="en-GB"/>
              </w:rPr>
            </m:ctrlPr>
          </m:sSubPr>
          <m:e>
            <m:r>
              <w:rPr>
                <w:rFonts w:ascii="Cambria Math" w:hAnsi="Cambria Math" w:cstheme="minorHAnsi"/>
                <w:sz w:val="20"/>
                <w:szCs w:val="20"/>
                <w:lang w:val="en-GB"/>
              </w:rPr>
              <m:t>log</m:t>
            </m:r>
          </m:e>
          <m:sub>
            <m:r>
              <w:rPr>
                <w:rFonts w:ascii="Cambria Math" w:hAnsi="Cambria Math" w:cstheme="minorHAnsi"/>
                <w:sz w:val="20"/>
                <w:szCs w:val="20"/>
                <w:lang w:val="en-GB"/>
              </w:rPr>
              <m:t>10</m:t>
            </m:r>
          </m:sub>
        </m:sSub>
        <m:f>
          <m:fPr>
            <m:ctrlPr>
              <w:rPr>
                <w:rFonts w:ascii="Cambria Math" w:hAnsi="Cambria Math" w:cstheme="minorHAnsi"/>
                <w:i/>
                <w:sz w:val="20"/>
                <w:szCs w:val="20"/>
                <w:lang w:val="en-GB"/>
              </w:rPr>
            </m:ctrlPr>
          </m:fPr>
          <m:num>
            <m:sSub>
              <m:sSubPr>
                <m:ctrlPr>
                  <w:rPr>
                    <w:rFonts w:ascii="Cambria Math" w:hAnsi="Cambria Math" w:cstheme="minorHAnsi"/>
                    <w:i/>
                    <w:sz w:val="20"/>
                    <w:szCs w:val="20"/>
                    <w:lang w:val="en-GB"/>
                  </w:rPr>
                </m:ctrlPr>
              </m:sSubPr>
              <m:e>
                <m:r>
                  <w:rPr>
                    <w:rFonts w:ascii="Cambria Math" w:hAnsi="Cambria Math" w:cstheme="minorHAnsi"/>
                    <w:sz w:val="20"/>
                    <w:szCs w:val="20"/>
                    <w:lang w:val="en-GB"/>
                  </w:rPr>
                  <m:t>ex</m:t>
                </m:r>
              </m:e>
              <m:sub>
                <m:r>
                  <w:rPr>
                    <w:rFonts w:ascii="Cambria Math" w:hAnsi="Cambria Math" w:cstheme="minorHAnsi"/>
                    <w:sz w:val="20"/>
                    <w:szCs w:val="20"/>
                    <w:lang w:val="en-GB"/>
                  </w:rPr>
                  <m:t>cell</m:t>
                </m:r>
              </m:sub>
            </m:sSub>
          </m:num>
          <m:den>
            <m:sSub>
              <m:sSubPr>
                <m:ctrlPr>
                  <w:rPr>
                    <w:rFonts w:ascii="Cambria Math" w:hAnsi="Cambria Math" w:cstheme="minorHAnsi"/>
                    <w:i/>
                    <w:sz w:val="20"/>
                    <w:szCs w:val="20"/>
                    <w:lang w:val="en-GB"/>
                  </w:rPr>
                </m:ctrlPr>
              </m:sSubPr>
              <m:e>
                <m:r>
                  <w:rPr>
                    <w:rFonts w:ascii="Cambria Math" w:hAnsi="Cambria Math" w:cstheme="minorHAnsi"/>
                    <w:sz w:val="20"/>
                    <w:szCs w:val="20"/>
                    <w:lang w:val="en-GB"/>
                  </w:rPr>
                  <m:t>ex</m:t>
                </m:r>
              </m:e>
              <m:sub>
                <m:r>
                  <w:rPr>
                    <w:rFonts w:ascii="Cambria Math" w:hAnsi="Cambria Math" w:cstheme="minorHAnsi"/>
                    <w:sz w:val="20"/>
                    <w:szCs w:val="20"/>
                    <w:lang w:val="en-GB"/>
                  </w:rPr>
                  <m:t>mean</m:t>
                </m:r>
              </m:sub>
            </m:sSub>
          </m:den>
        </m:f>
      </m:oMath>
      <w:r w:rsidR="00EE66F0" w:rsidRPr="00A34CD9">
        <w:rPr>
          <w:rFonts w:eastAsiaTheme="minorEastAsia" w:cstheme="minorHAnsi"/>
          <w:lang w:val="en-GB"/>
        </w:rPr>
        <w:tab/>
      </w:r>
      <w:r w:rsidR="00EE66F0" w:rsidRPr="00A34CD9">
        <w:rPr>
          <w:rFonts w:eastAsiaTheme="minorEastAsia" w:cstheme="minorHAnsi"/>
          <w:lang w:val="en-GB"/>
        </w:rPr>
        <w:tab/>
        <w:t>(4)</w:t>
      </w:r>
    </w:p>
    <w:p w14:paraId="617FAC95" w14:textId="35BD1716" w:rsidR="00CD73FB" w:rsidRPr="00A34CD9" w:rsidRDefault="001C4103" w:rsidP="002A528E">
      <w:pPr>
        <w:pStyle w:val="Prrafodelista"/>
        <w:numPr>
          <w:ilvl w:val="0"/>
          <w:numId w:val="15"/>
        </w:numPr>
        <w:suppressLineNumbers/>
        <w:spacing w:line="480" w:lineRule="auto"/>
        <w:jc w:val="both"/>
        <w:rPr>
          <w:rFonts w:cstheme="minorHAnsi"/>
          <w:lang w:val="en-GB"/>
        </w:rPr>
      </w:pPr>
      <w:r w:rsidRPr="00A34CD9">
        <w:rPr>
          <w:rFonts w:cstheme="minorHAnsi"/>
          <w:lang w:val="en-GB"/>
        </w:rPr>
        <w:t xml:space="preserve">Selectivity: </w:t>
      </w:r>
      <w:r w:rsidR="00BC3D6C" w:rsidRPr="00A34CD9">
        <w:rPr>
          <w:rFonts w:cstheme="minorHAnsi"/>
          <w:lang w:val="en-GB"/>
        </w:rPr>
        <w:t xml:space="preserve">probability that the fishing gear captures individuals of great shearwater that encounters the gear. </w:t>
      </w:r>
      <w:r w:rsidR="00D42510" w:rsidRPr="00A34CD9">
        <w:rPr>
          <w:rFonts w:cstheme="minorHAnsi"/>
          <w:lang w:val="en-GB"/>
        </w:rPr>
        <w:t xml:space="preserve">To determine the probability of capture, we used </w:t>
      </w:r>
      <w:r w:rsidR="00F44713" w:rsidRPr="00A34CD9">
        <w:rPr>
          <w:rFonts w:cstheme="minorHAnsi"/>
          <w:lang w:val="en-GB"/>
        </w:rPr>
        <w:t>published information</w:t>
      </w:r>
      <w:r w:rsidR="00BC3D6C" w:rsidRPr="00A34CD9">
        <w:rPr>
          <w:rFonts w:cstheme="minorHAnsi"/>
          <w:lang w:val="en-GB"/>
        </w:rPr>
        <w:t xml:space="preserve"> and data collected by the observer monitoring programme. </w:t>
      </w:r>
      <w:r w:rsidR="003571F7" w:rsidRPr="00A34CD9">
        <w:rPr>
          <w:rFonts w:cstheme="minorHAnsi"/>
          <w:lang w:val="en-GB"/>
        </w:rPr>
        <w:t xml:space="preserve">Both </w:t>
      </w:r>
      <w:r w:rsidR="00D30521" w:rsidRPr="00A34CD9">
        <w:rPr>
          <w:rFonts w:cstheme="minorHAnsi"/>
          <w:lang w:val="en-GB"/>
        </w:rPr>
        <w:t>LHP and LTL</w:t>
      </w:r>
      <w:r w:rsidR="003F0AB6">
        <w:rPr>
          <w:rFonts w:cstheme="minorHAnsi"/>
          <w:lang w:val="en-GB"/>
        </w:rPr>
        <w:t xml:space="preserve"> have</w:t>
      </w:r>
      <w:r w:rsidR="003571F7" w:rsidRPr="00A34CD9">
        <w:rPr>
          <w:rFonts w:cstheme="minorHAnsi"/>
          <w:lang w:val="en-GB"/>
        </w:rPr>
        <w:t xml:space="preserve"> </w:t>
      </w:r>
      <w:r w:rsidR="00E85DE7" w:rsidRPr="00A34CD9">
        <w:rPr>
          <w:rFonts w:cstheme="minorHAnsi"/>
          <w:lang w:val="en-GB"/>
        </w:rPr>
        <w:t xml:space="preserve">low potential for capture seabirds </w:t>
      </w:r>
      <w:r w:rsidR="004D6265" w:rsidRPr="00A34CD9">
        <w:rPr>
          <w:rFonts w:cstheme="minorHAnsi"/>
          <w:lang w:val="en-GB"/>
        </w:rPr>
        <w:fldChar w:fldCharType="begin" w:fldLock="1"/>
      </w:r>
      <w:r w:rsidR="00D30521" w:rsidRPr="00A34CD9">
        <w:rPr>
          <w:rFonts w:cstheme="minorHAnsi"/>
          <w:lang w:val="en-GB"/>
        </w:rPr>
        <w:instrText>ADDIN CSL_CITATION {"citationItems":[{"id":"ITEM-1","itemData":{"DOI":"10.1371/journal.pone.0177391","ISBN":"1111111111","ISSN":"19326203","PMID":"28542258","abstract":"Tropical tuna fisheries are among the largest worldwide, with some having significant bycatch issues. However, pole-and-line tuna fisheries are widely believed to have low bycatch rates, although these have rarely been quantified. The Maldives has an important pole-and-line fishery, targeting skipjack tuna (Katsuwonus pelamis). In the Maldives, 106 pole-and-line tuna fishing days were observed between August 2014 and November 2015. During 161 fishing events, tuna catches amounted to 147 t: 72% by weight was skipjack, 25% yellowfin tuna (Thunnus albacares) and 3% other tunas. Bycatch (all non-tuna species caught plus all tuna discards) amounted to 951 kg (0.65% of total tuna catch). Most of the bycatch (95%) was utilized, and some bycatch was released alive, so dead discards were particularly low (0.02% of total tuna catch, or 22 kg per 100 t). Rainbow runner (Elagatis bipinnulata) and dolphinfish (Coryphaena hippurus) together constituted 93% of the bycatch. Live releases included small numbers of silky sharks (Carcharhinus falciformis) and seabirds (noddies, Anous tenuirostris and A. stolidus). Pole-and-line tuna fishing was conducted on free schools and schools associated with various objects (Maldivian anchored fish aggregating devices [aFADs], drifting FADs from western Indian Ocean purse seine fisheries, other drifting objects and seamounts). Free school catches typically included a high proportion of large skipjack and significantly less bycatch. Associated schools produced more variable tuna catches and higher bycatch rates. Fishing trips in the south had significantly lower bycatch rates than those in the north. This study is the first to quantify bycatch rates in the Maldives pole-and-line tuna fishery and the influence of school association on catch composition. Ratio estimator methods suggest roughly 552.6 t of bycatch and 27.9 t of discards are caught annually in the fishery (based on 2015 national catch), much less than other Indian Ocean tuna fisheries, e.g. gillnet, purse-seine, and longline.","author":[{"dropping-particle":"","family":"Miller","given":"Kelsey I.","non-dropping-particle":"","parse-names":false,"suffix":""},{"dropping-particle":"","family":"Nadheeh","given":"Ibrahim","non-dropping-particle":"","parse-names":false,"suffix":""},{"dropping-particle":"","family":"Riyaz Jauharee","given":"A.","non-dropping-particle":"","parse-names":false,"suffix":""},{"dropping-particle":"","family":"Charles Anderson","given":"R.","non-dropping-particle":"","parse-names":false,"suffix":""},{"dropping-particle":"","family":"Shiham Adam","given":"M.","non-dropping-particle":"","parse-names":false,"suffix":""}],"container-title":"PLoS ONE","id":"ITEM-1","issue":"5","issued":{"date-parts":[["2017"]]},"page":"e0177391","title":"Bycatch in the Maldivian pole-and-line tuna fishery","type":"article-journal","volume":"12"},"uris":["http://www.mendeley.com/documents/?uuid=e1243dfe-b0b8-438f-99bb-dabfd3925072"]},{"id":"ITEM-2","itemData":{"DOI":"10.1016/j.fishres.2007.10.013","ISSN":"01657836","abstract":"The decline of populations of certain seabirds and sea turtles around the world is partly related to their incidental capture in large-scale fisheries. However, the impacts of small-scale fisheries on endangered seabirds and sea turtles, being carried out in many places around the world, have been largely neglected by scientists and governments. We monitored 178 fishing days and described a range of poorly known hook-and-line commercial fisheries carried out by the Itaipava fleet, southeastern Brazil, composed by 497 vessels and deploying hooks from 18°S to 35°S. Seven fisheries were defined: fast trolling for tuna and tuna-like species, slow trolling for Bigeye tuna, handlining, surface longline for Dolphinfish, pelagic longline for Swordfish, bottom dropline, and pole-and-line with live bait. We observed bycatch of 47 seabirds of six species and 45 turtles of four species. Capture rates were higher for the surface longline for Dolphinfish (0.15 birds/1000 hooks and 1.08 turtles/1000 hooks), slow trolling for Bigeye tuna (0.41 birds/day) and handlining targeting Yellowfin tuna (0.61 birds/day). Endangered Spectacled petrel (Procellaria conspicillata), Atlantic Yellow-nosed (Thalassarche chlororhynchos), and Black-browed (T. melanophris) albatrosses were the main seabirds caught. Immature Loggerhead turtles (Caretta caretta) and immature or adult Leatherback turtles (Dermochelys coriacea) were the main sea turtles affected by the surface longline for Dolphinfish. Monitoring the fleet and bycatch levels, development of mitigation measures, establishment of educational programs, government control over the fleet, and enforcement, are urgently required for the hook-and-line fisheries described in the present study. © 2007 Elsevier B.V. All rights reserved.","author":[{"dropping-particle":"","family":"Bugoni","given":"Leandro","non-dropping-particle":"","parse-names":false,"suffix":""},{"dropping-particle":"","family":"Neves","given":"Tatiana S.","non-dropping-particle":"","parse-names":false,"suffix":""},{"dropping-particle":"","family":"Leite","given":"Nilamon O.","non-dropping-particle":"","parse-names":false,"suffix":""},{"dropping-particle":"","family":"Carvalho","given":"Demétrio","non-dropping-particle":"","parse-names":false,"suffix":""},{"dropping-particle":"","family":"Sales","given":"Gilberto","non-dropping-particle":"","parse-names":false,"suffix":""},{"dropping-particle":"","family":"Furness","given":"Robert W.","non-dropping-particle":"","parse-names":false,"suffix":""},{"dropping-particle":"","family":"Stein","given":"Carlos E.","non-dropping-particle":"","parse-names":false,"suffix":""},{"dropping-particle":"V.","family":"Peppes","given":"Fabiano","non-dropping-particle":"","parse-names":false,"suffix":""},{"dropping-particle":"","family":"Giffoni","given":"Bruno B.","non-dropping-particle":"","parse-names":false,"suffix":""},{"dropping-particle":"","family":"Monteiro","given":"Danielle S.","non-dropping-particle":"","parse-names":false,"suffix":""}],"container-title":"Fisheries Research","id":"ITEM-2","issue":"1-3","issued":{"date-parts":[["2008"]]},"page":"217-224","title":"Potential bycatch of seabirds and turtles in hook-and-line fisheries of the Itaipava Fleet, Brazil","type":"article-journal","volume":"90"},"uris":["http://www.mendeley.com/documents/?uuid=d477d2c4-20e6-4192-ac06-9e9bc318ea5b"]}],"mendeley":{"formattedCitation":"(Bugoni &lt;i&gt;et al.&lt;/i&gt;, 2008a; Miller &lt;i&gt;et al.&lt;/i&gt;, 2017)","plainTextFormattedCitation":"(Bugoni et al., 2008a; Miller et al., 2017)","previouslyFormattedCitation":"(Bugoni &lt;i&gt;et al.&lt;/i&gt;, 2008a; Miller &lt;i&gt;et al.&lt;/i&gt;, 2017)"},"properties":{"noteIndex":0},"schema":"https://github.com/citation-style-language/schema/raw/master/csl-citation.json"}</w:instrText>
      </w:r>
      <w:r w:rsidR="004D6265" w:rsidRPr="00A34CD9">
        <w:rPr>
          <w:rFonts w:cstheme="minorHAnsi"/>
          <w:lang w:val="en-GB"/>
        </w:rPr>
        <w:fldChar w:fldCharType="separate"/>
      </w:r>
      <w:r w:rsidR="004D6265" w:rsidRPr="00A34CD9">
        <w:rPr>
          <w:rFonts w:cstheme="minorHAnsi"/>
          <w:noProof/>
          <w:lang w:val="en-GB"/>
        </w:rPr>
        <w:t xml:space="preserve">(Bugoni </w:t>
      </w:r>
      <w:r w:rsidR="004D6265" w:rsidRPr="00A34CD9">
        <w:rPr>
          <w:rFonts w:cstheme="minorHAnsi"/>
          <w:i/>
          <w:noProof/>
          <w:lang w:val="en-GB"/>
        </w:rPr>
        <w:t>et al.</w:t>
      </w:r>
      <w:r w:rsidR="004D6265" w:rsidRPr="00A34CD9">
        <w:rPr>
          <w:rFonts w:cstheme="minorHAnsi"/>
          <w:noProof/>
          <w:lang w:val="en-GB"/>
        </w:rPr>
        <w:t xml:space="preserve">, 2008a; Miller </w:t>
      </w:r>
      <w:r w:rsidR="004D6265" w:rsidRPr="00A34CD9">
        <w:rPr>
          <w:rFonts w:cstheme="minorHAnsi"/>
          <w:i/>
          <w:noProof/>
          <w:lang w:val="en-GB"/>
        </w:rPr>
        <w:t>et al.</w:t>
      </w:r>
      <w:r w:rsidR="004D6265" w:rsidRPr="00A34CD9">
        <w:rPr>
          <w:rFonts w:cstheme="minorHAnsi"/>
          <w:noProof/>
          <w:lang w:val="en-GB"/>
        </w:rPr>
        <w:t>, 2017)</w:t>
      </w:r>
      <w:r w:rsidR="004D6265" w:rsidRPr="00A34CD9">
        <w:rPr>
          <w:rFonts w:cstheme="minorHAnsi"/>
          <w:lang w:val="en-GB"/>
        </w:rPr>
        <w:fldChar w:fldCharType="end"/>
      </w:r>
      <w:r w:rsidR="004D6265" w:rsidRPr="00A34CD9">
        <w:rPr>
          <w:rFonts w:cstheme="minorHAnsi"/>
          <w:lang w:val="en-GB"/>
        </w:rPr>
        <w:t xml:space="preserve"> compared to other gears such as longlines</w:t>
      </w:r>
      <w:r w:rsidR="00D30521" w:rsidRPr="00A34CD9">
        <w:rPr>
          <w:rFonts w:cstheme="minorHAnsi"/>
          <w:lang w:val="en-GB"/>
        </w:rPr>
        <w:t xml:space="preserve"> </w:t>
      </w:r>
      <w:r w:rsidR="00D30521" w:rsidRPr="00A34CD9">
        <w:rPr>
          <w:rFonts w:cstheme="minorHAnsi"/>
          <w:lang w:val="en-GB"/>
        </w:rPr>
        <w:fldChar w:fldCharType="begin" w:fldLock="1"/>
      </w:r>
      <w:r w:rsidR="006B1B14" w:rsidRPr="00A34CD9">
        <w:rPr>
          <w:rFonts w:cstheme="minorHAnsi"/>
          <w:lang w:val="en-GB"/>
        </w:rPr>
        <w:instrText>ADDIN CSL_CITATION {"citationItems":[{"id":"ITEM-1","itemData":{"DOI":"10.3354/esr00347","ISBN":"1863-5407; 1613-4796","ISSN":"18635407","abstract":"Bycatch in longline fisheries is believed to govern the adverse conservation status of many seabird species, but no comprehensive global assessment has been undertaken. We reviewed the extent of seabird bycatch in all longline fisheries for which data are available. Despite the many inadequacies and assumptions contained therein, we estimated that at least 160 000 (and potentially in excess of 320000) seabirds are killed annually. Most frequently caught are albatrosses, petrels and shearwaters, with current levels of mortality liable to be unsustainable for some species and popula- tions. Where realistic comparisons can be made, with data from the 1990s, there is evidence of sub- stantially reduced bycatch in some key fisheries. Reductions stem from decreased fishing effort (especially in illegal, unreported and unregulated fishing in the Southern Ocean), and greater and more effective use of technical mitigation measures, notably in demersal fisheries. However, bycatch problems in other fisheries have also emerged. Current concerns include those with previously unidentified bycatch problems (e.g. Spanish Gran Sol demersal fleet) and those where bycatch was identified, but where persistent data gaps prevented adequate assessments of the scale of the impact (e.g. Nordic demersal fisheries). Future assessments will only achieve greater precision when mini- mum standards of data collection, reporting and analysis are implemented by longline fishing fleets and the relevant regional fishery management organisations. Those fisheries in which bycatch has been substantially reduced demonstrate that the problem of seabird bycatch could be reduced to negligible proportions by enforced implementation of appropriate best-practice mitigation devices and techniques.","author":[{"dropping-particle":"","family":"Anderson","given":"Orea R J","non-dropping-particle":"","parse-names":false,"suffix":""},{"dropping-particle":"","family":"Small","given":"Cleo J.","non-dropping-particle":"","parse-names":false,"suffix":""},{"dropping-particle":"","family":"Croxall","given":"John P.","non-dropping-particle":"","parse-names":false,"suffix":""},{"dropping-particle":"","family":"Dunn","given":"Euan K.","non-dropping-particle":"","parse-names":false,"suffix":""},{"dropping-particle":"","family":"Sullivan","given":"Benedict J.","non-dropping-particle":"","parse-names":false,"suffix":""},{"dropping-particle":"","family":"Yates","given":"Oliver","non-dropping-particle":"","parse-names":false,"suffix":""},{"dropping-particle":"","family":"Black","given":"Andrew","non-dropping-particle":"","parse-names":false,"suffix":""}],"container-title":"Endangered Species Research","id":"ITEM-1","issued":{"date-parts":[["2011"]]},"page":"91-106","title":"Global seabird bycatch in longline fisheries","type":"article-journal","volume":"14"},"uris":["http://www.mendeley.com/documents/?uuid=7da0188e-f310-4e64-8c9b-26774f43c27b"]}],"mendeley":{"formattedCitation":"(Anderson &lt;i&gt;et al.&lt;/i&gt;, 2011)","plainTextFormattedCitation":"(Anderson et al., 2011)","previouslyFormattedCitation":"(Anderson &lt;i&gt;et al.&lt;/i&gt;, 2011)"},"properties":{"noteIndex":0},"schema":"https://github.com/citation-style-language/schema/raw/master/csl-citation.json"}</w:instrText>
      </w:r>
      <w:r w:rsidR="00D30521" w:rsidRPr="00A34CD9">
        <w:rPr>
          <w:rFonts w:cstheme="minorHAnsi"/>
          <w:lang w:val="en-GB"/>
        </w:rPr>
        <w:fldChar w:fldCharType="separate"/>
      </w:r>
      <w:r w:rsidR="00D30521" w:rsidRPr="00A34CD9">
        <w:rPr>
          <w:rFonts w:cstheme="minorHAnsi"/>
          <w:noProof/>
          <w:lang w:val="en-GB"/>
        </w:rPr>
        <w:t xml:space="preserve">(Anderson </w:t>
      </w:r>
      <w:r w:rsidR="00D30521" w:rsidRPr="00A34CD9">
        <w:rPr>
          <w:rFonts w:cstheme="minorHAnsi"/>
          <w:i/>
          <w:noProof/>
          <w:lang w:val="en-GB"/>
        </w:rPr>
        <w:t>et al.</w:t>
      </w:r>
      <w:r w:rsidR="00D30521" w:rsidRPr="00A34CD9">
        <w:rPr>
          <w:rFonts w:cstheme="minorHAnsi"/>
          <w:noProof/>
          <w:lang w:val="en-GB"/>
        </w:rPr>
        <w:t>, 2011)</w:t>
      </w:r>
      <w:r w:rsidR="00D30521" w:rsidRPr="00A34CD9">
        <w:rPr>
          <w:rFonts w:cstheme="minorHAnsi"/>
          <w:lang w:val="en-GB"/>
        </w:rPr>
        <w:fldChar w:fldCharType="end"/>
      </w:r>
      <w:r w:rsidR="00D30521" w:rsidRPr="00A34CD9">
        <w:rPr>
          <w:rFonts w:cstheme="minorHAnsi"/>
          <w:lang w:val="en-GB"/>
        </w:rPr>
        <w:t xml:space="preserve"> or gillnets </w:t>
      </w:r>
      <w:r w:rsidR="00D30521" w:rsidRPr="00A34CD9">
        <w:rPr>
          <w:rFonts w:cstheme="minorHAnsi"/>
          <w:lang w:val="en-GB"/>
        </w:rPr>
        <w:fldChar w:fldCharType="begin" w:fldLock="1"/>
      </w:r>
      <w:r w:rsidR="00D30521" w:rsidRPr="00A34CD9">
        <w:rPr>
          <w:rFonts w:cstheme="minorHAnsi"/>
          <w:lang w:val="en-GB"/>
        </w:rPr>
        <w:instrText>ADDIN CSL_CITATION {"citationItems":[{"id":"ITEM-1","itemData":{"DOI":"10.1016/j.biocon.2009.02.025","ISSN":"00063207","abstract":"Bird mortality in fishing gear is a global conservation issue and it is recognised that bycatch in industrial longline and trawl fisheries threatens several seabird species. Little is known however about the effects of bycatch in small-scale gillnet fisheries on bird populations. Here we review 30 studies reporting bird bycatch in coastal gillnet fisheries in the Baltic Sea and the North Sea region in order to assess the magnitude of this problem and potential effects on bird populations. All species of diving birds that occur in the study region, including divers (loons), grebes, sea ducks, diving ducks, auks and cormorants, have been reported as dying in fishing nets. The cumulative bycatch estimate extracted from several localized studies providing such information, suggests that about 90,000 birds die in fishing nets annually, a number that is almost certainly a substantial underestimate. We conclude that it is likely that between 100,000 and 200,000 waterbirds are killed per year. Geographic and temporal patterns of bycatch generally matched species distribution and periods of presence. Also, bycatch rates varied depending on species' foraging technique and were influenced by net parameters and fishing depth. To evaluate effects of additive mortality on bird populations, we applied the Potential Biological Removal (PBR) concept to three species with the most extensive bycatch information. Agreeing with PBR assumptions we conclude that bycatch is a matter of concern for at least two of the three assessed species. We suggest that bycatch research in Europe and beyond should aim at unification of principles for bycatch assessment, setting new standards for the monitoring of waterbird populations so that vital rates and mortality data are recorded, and implementing quantifiable criteria for evaluating effects of fisheries bycatch. © 2009 Elsevier Ltd. All rights reserved.","author":[{"dropping-particle":"","family":"Žydelis","given":"Ramunas","non-dropping-particle":"","parse-names":false,"suffix":""},{"dropping-particle":"","family":"Bellebaum","given":"Jochen","non-dropping-particle":"","parse-names":false,"suffix":""},{"dropping-particle":"","family":"Österblom","given":"Henrik","non-dropping-particle":"","parse-names":false,"suffix":""},{"dropping-particle":"","family":"Vetemaa","given":"Markus","non-dropping-particle":"","parse-names":false,"suffix":""},{"dropping-particle":"","family":"Schirmeister","given":"Bernd","non-dropping-particle":"","parse-names":false,"suffix":""},{"dropping-particle":"","family":"Stipniece","given":"Antra","non-dropping-particle":"","parse-names":false,"suffix":""},{"dropping-particle":"","family":"Dagys","given":"Mindaugas","non-dropping-particle":"","parse-names":false,"suffix":""},{"dropping-particle":"","family":"Eerden","given":"Mennobart","non-dropping-particle":"van","parse-names":false,"suffix":""},{"dropping-particle":"","family":"Garthe","given":"Stefan","non-dropping-particle":"","parse-names":false,"suffix":""}],"container-title":"Biological Conservation","id":"ITEM-1","issue":"7","issued":{"date-parts":[["2009","7","1"]]},"page":"1269-1281","publisher":"Elsevier","title":"Bycatch in gillnet fisheries - An overlooked threat to waterbird populations","type":"article","volume":"142"},"uris":["http://www.mendeley.com/documents/?uuid=858d9a20-9858-3866-9447-1520922612c9"]}],"mendeley":{"formattedCitation":"(Žydelis &lt;i&gt;et al.&lt;/i&gt;, 2009)","plainTextFormattedCitation":"(Žydelis et al., 2009)","previouslyFormattedCitation":"(Žydelis &lt;i&gt;et al.&lt;/i&gt;, 2009)"},"properties":{"noteIndex":0},"schema":"https://github.com/citation-style-language/schema/raw/master/csl-citation.json"}</w:instrText>
      </w:r>
      <w:r w:rsidR="00D30521" w:rsidRPr="00A34CD9">
        <w:rPr>
          <w:rFonts w:cstheme="minorHAnsi"/>
          <w:lang w:val="en-GB"/>
        </w:rPr>
        <w:fldChar w:fldCharType="separate"/>
      </w:r>
      <w:r w:rsidR="00D30521" w:rsidRPr="00A34CD9">
        <w:rPr>
          <w:rFonts w:cstheme="minorHAnsi"/>
          <w:noProof/>
          <w:lang w:val="en-GB"/>
        </w:rPr>
        <w:t xml:space="preserve">(Žydelis </w:t>
      </w:r>
      <w:r w:rsidR="00D30521" w:rsidRPr="00A34CD9">
        <w:rPr>
          <w:rFonts w:cstheme="minorHAnsi"/>
          <w:i/>
          <w:noProof/>
          <w:lang w:val="en-GB"/>
        </w:rPr>
        <w:t>et al.</w:t>
      </w:r>
      <w:r w:rsidR="00D30521" w:rsidRPr="00A34CD9">
        <w:rPr>
          <w:rFonts w:cstheme="minorHAnsi"/>
          <w:noProof/>
          <w:lang w:val="en-GB"/>
        </w:rPr>
        <w:t>, 2009)</w:t>
      </w:r>
      <w:r w:rsidR="00D30521" w:rsidRPr="00A34CD9">
        <w:rPr>
          <w:rFonts w:cstheme="minorHAnsi"/>
          <w:lang w:val="en-GB"/>
        </w:rPr>
        <w:fldChar w:fldCharType="end"/>
      </w:r>
      <w:r w:rsidR="003F0AB6">
        <w:rPr>
          <w:rFonts w:cstheme="minorHAnsi"/>
          <w:lang w:val="en-GB"/>
        </w:rPr>
        <w:t>.</w:t>
      </w:r>
      <w:r w:rsidR="001A7309" w:rsidRPr="00A34CD9">
        <w:rPr>
          <w:rFonts w:cstheme="minorHAnsi"/>
          <w:lang w:val="en-GB"/>
        </w:rPr>
        <w:t xml:space="preserve"> </w:t>
      </w:r>
      <w:r w:rsidR="003F0AB6">
        <w:rPr>
          <w:rFonts w:cstheme="minorHAnsi"/>
          <w:lang w:val="en-GB"/>
        </w:rPr>
        <w:t>I</w:t>
      </w:r>
      <w:r w:rsidR="00E85DE7" w:rsidRPr="00A34CD9">
        <w:rPr>
          <w:rFonts w:cstheme="minorHAnsi"/>
          <w:lang w:val="en-GB"/>
        </w:rPr>
        <w:t>n accordance</w:t>
      </w:r>
      <w:r w:rsidR="003F0AB6">
        <w:rPr>
          <w:rFonts w:cstheme="minorHAnsi"/>
          <w:lang w:val="en-GB"/>
        </w:rPr>
        <w:t>,</w:t>
      </w:r>
      <w:r w:rsidR="00E85DE7" w:rsidRPr="00A34CD9">
        <w:rPr>
          <w:rFonts w:cstheme="minorHAnsi"/>
          <w:lang w:val="en-GB"/>
        </w:rPr>
        <w:t xml:space="preserve"> the selectivity score assigned was low (</w:t>
      </w:r>
      <w:r w:rsidR="00E85DE7" w:rsidRPr="00A34CD9">
        <w:rPr>
          <w:rFonts w:cstheme="minorHAnsi"/>
          <w:i/>
          <w:iCs/>
          <w:lang w:val="en-GB"/>
        </w:rPr>
        <w:t>i.e.</w:t>
      </w:r>
      <w:r w:rsidR="00E85DE7" w:rsidRPr="00A34CD9">
        <w:rPr>
          <w:rFonts w:cstheme="minorHAnsi"/>
          <w:lang w:val="en-GB"/>
        </w:rPr>
        <w:t xml:space="preserve">, 1). </w:t>
      </w:r>
      <w:r w:rsidR="00D30521" w:rsidRPr="00A34CD9">
        <w:rPr>
          <w:rFonts w:cstheme="minorHAnsi"/>
          <w:lang w:val="en-GB"/>
        </w:rPr>
        <w:t xml:space="preserve">However, using the data collected by the </w:t>
      </w:r>
      <w:r w:rsidR="00F44713" w:rsidRPr="00A34CD9">
        <w:rPr>
          <w:rFonts w:cstheme="minorHAnsi"/>
          <w:lang w:val="en-GB"/>
        </w:rPr>
        <w:t xml:space="preserve">onboard </w:t>
      </w:r>
      <w:r w:rsidR="00D30521" w:rsidRPr="00A34CD9">
        <w:rPr>
          <w:rFonts w:cstheme="minorHAnsi"/>
          <w:lang w:val="en-GB"/>
        </w:rPr>
        <w:t xml:space="preserve">observers we were able to ascertain </w:t>
      </w:r>
      <w:r w:rsidR="00047DB5" w:rsidRPr="00A34CD9">
        <w:rPr>
          <w:rFonts w:cstheme="minorHAnsi"/>
          <w:lang w:val="en-GB"/>
        </w:rPr>
        <w:t xml:space="preserve">that LTL is a </w:t>
      </w:r>
      <w:r w:rsidR="00D30521" w:rsidRPr="00A34CD9">
        <w:rPr>
          <w:rFonts w:cstheme="minorHAnsi"/>
          <w:lang w:val="en-GB"/>
        </w:rPr>
        <w:t>less selective</w:t>
      </w:r>
      <w:r w:rsidR="00047DB5" w:rsidRPr="00A34CD9">
        <w:rPr>
          <w:rFonts w:cstheme="minorHAnsi"/>
          <w:lang w:val="en-GB"/>
        </w:rPr>
        <w:t xml:space="preserve"> gear than LHP</w:t>
      </w:r>
      <w:r w:rsidR="00F44713" w:rsidRPr="00A34CD9">
        <w:rPr>
          <w:rFonts w:cstheme="minorHAnsi"/>
          <w:lang w:val="en-GB"/>
        </w:rPr>
        <w:t xml:space="preserve"> </w:t>
      </w:r>
      <w:r w:rsidR="00047DB5" w:rsidRPr="00A34CD9">
        <w:rPr>
          <w:rFonts w:cstheme="minorHAnsi"/>
          <w:lang w:val="en-GB"/>
        </w:rPr>
        <w:t>with a capture rate</w:t>
      </w:r>
      <w:r w:rsidR="00D571FB" w:rsidRPr="00A34CD9">
        <w:rPr>
          <w:rFonts w:cstheme="minorHAnsi"/>
          <w:lang w:val="en-GB"/>
        </w:rPr>
        <w:t xml:space="preserve"> </w:t>
      </w:r>
      <w:r w:rsidR="00047DB5" w:rsidRPr="00A34CD9">
        <w:rPr>
          <w:rFonts w:cstheme="minorHAnsi"/>
          <w:lang w:val="en-GB"/>
        </w:rPr>
        <w:t>±</w:t>
      </w:r>
      <w:r w:rsidR="00D571FB" w:rsidRPr="00A34CD9">
        <w:rPr>
          <w:rFonts w:cstheme="minorHAnsi"/>
          <w:lang w:val="en-GB"/>
        </w:rPr>
        <w:t xml:space="preserve"> </w:t>
      </w:r>
      <w:r w:rsidR="00047DB5" w:rsidRPr="00A34CD9">
        <w:rPr>
          <w:rFonts w:cstheme="minorHAnsi"/>
          <w:lang w:val="en-GB"/>
        </w:rPr>
        <w:t>standard deviation of 0.18±0.33 and 0.01±0.07 birds/day, respectively.</w:t>
      </w:r>
      <w:r w:rsidR="005574F9" w:rsidRPr="00A34CD9">
        <w:rPr>
          <w:rFonts w:cstheme="minorHAnsi"/>
          <w:lang w:val="en-GB"/>
        </w:rPr>
        <w:t xml:space="preserve"> The</w:t>
      </w:r>
      <w:r w:rsidR="00CC0BCB" w:rsidRPr="00A34CD9">
        <w:rPr>
          <w:rFonts w:cstheme="minorHAnsi"/>
          <w:lang w:val="en-GB"/>
        </w:rPr>
        <w:t>n</w:t>
      </w:r>
      <w:r w:rsidR="005574F9" w:rsidRPr="00A34CD9">
        <w:rPr>
          <w:rFonts w:cstheme="minorHAnsi"/>
          <w:lang w:val="en-GB"/>
        </w:rPr>
        <w:t>, the final assigned scores were 1.5 and 1 for LTL and LHP, respectively.</w:t>
      </w:r>
    </w:p>
    <w:p w14:paraId="6BA66E79" w14:textId="58E07DA4" w:rsidR="001B157A" w:rsidRPr="00A34CD9" w:rsidRDefault="001B157A" w:rsidP="002A528E">
      <w:pPr>
        <w:pStyle w:val="Prrafodelista"/>
        <w:numPr>
          <w:ilvl w:val="0"/>
          <w:numId w:val="15"/>
        </w:numPr>
        <w:suppressLineNumbers/>
        <w:spacing w:line="480" w:lineRule="auto"/>
        <w:jc w:val="both"/>
        <w:rPr>
          <w:rFonts w:cstheme="minorHAnsi"/>
          <w:lang w:val="en-GB"/>
        </w:rPr>
      </w:pPr>
      <w:r w:rsidRPr="00A34CD9">
        <w:rPr>
          <w:rFonts w:cstheme="minorHAnsi"/>
          <w:lang w:val="en-GB"/>
        </w:rPr>
        <w:t xml:space="preserve">Potential for lethal encounter: </w:t>
      </w:r>
      <w:r w:rsidR="006B1B14" w:rsidRPr="00A34CD9">
        <w:rPr>
          <w:rFonts w:cstheme="minorHAnsi"/>
          <w:lang w:val="en-GB"/>
        </w:rPr>
        <w:t xml:space="preserve">this attribute replaced the Post Capture Mortality attribute from </w:t>
      </w:r>
      <w:r w:rsidR="006B1B14" w:rsidRPr="00A34CD9">
        <w:rPr>
          <w:rFonts w:cstheme="minorHAnsi"/>
          <w:lang w:val="en-GB"/>
        </w:rPr>
        <w:fldChar w:fldCharType="begin" w:fldLock="1"/>
      </w:r>
      <w:r w:rsidR="00FD797F" w:rsidRPr="00A34CD9">
        <w:rPr>
          <w:rFonts w:cstheme="minorHAnsi"/>
          <w:lang w:val="en-GB"/>
        </w:rPr>
        <w:instrText>ADDIN CSL_CITATION {"citationItems":[{"id":"ITEM-1","itemData":{"author":[{"dropping-particle":"","family":"Hobday","given":"A. J.","non-dropping-particle":"","parse-names":false,"suffix":""},{"dropping-particle":"","family":"Smith","given":"A.","non-dropping-particle":"","parse-names":false,"suffix":""},{"dropping-particle":"","family":"Webb","given":"H.","non-dropping-particle":"","parse-names":false,"suffix":""},{"dropping-particle":"","family":"Daley","given":"R.","non-dropping-particle":"","parse-names":false,"suffix":""},{"dropping-particle":"","family":"Wayte","given":"S.","non-dropping-particle":"","parse-names":false,"suffix":""},{"dropping-particle":"","family":"Bulman","given":"C.","non-dropping-particle":"","parse-names":false,"suffix":""},{"dropping-particle":"","family":"Dowdney","given":"J.","non-dropping-particle":"","parse-names":false,"suffix":""},{"dropping-particle":"","family":"Williams","given":"A.","non-dropping-particle":"","parse-names":false,"suffix":""},{"dropping-particle":"","family":"Sporcic","given":"M.","non-dropping-particle":"","parse-names":false,"suffix":""},{"dropping-particle":"","family":"Dambacher","given":"J.","non-dropping-particle":"","parse-names":false,"suffix":""},{"dropping-particle":"","family":"Fuller","given":"M.","non-dropping-particle":"","parse-names":false,"suffix":""},{"dropping-particle":"","family":"Walker","given":"T.","non-dropping-particle":"","parse-names":false,"suffix":""}],"id":"ITEM-1","issued":{"date-parts":[["2007"]]},"title":"Ecological Risk Assessment for the Effects of Fishing: Methodology. Report R04/1072 for the Australian Fisheries Management Authority, Canberra.","type":"report"},"uris":["http://www.mendeley.com/documents/?uuid=33e1b2c6-3f95-4191-adf6-db10b8cae5d4"]}],"mendeley":{"formattedCitation":"(Hobday &lt;i&gt;et al.&lt;/i&gt;, 2007)","manualFormatting":"Hobday et al. (2007)","plainTextFormattedCitation":"(Hobday et al., 2007)","previouslyFormattedCitation":"(Hobday &lt;i&gt;et al.&lt;/i&gt;, 2007)"},"properties":{"noteIndex":0},"schema":"https://github.com/citation-style-language/schema/raw/master/csl-citation.json"}</w:instrText>
      </w:r>
      <w:r w:rsidR="006B1B14" w:rsidRPr="00A34CD9">
        <w:rPr>
          <w:rFonts w:cstheme="minorHAnsi"/>
          <w:lang w:val="en-GB"/>
        </w:rPr>
        <w:fldChar w:fldCharType="separate"/>
      </w:r>
      <w:r w:rsidR="006B1B14" w:rsidRPr="00A34CD9">
        <w:rPr>
          <w:rFonts w:cstheme="minorHAnsi"/>
          <w:noProof/>
          <w:lang w:val="en-GB"/>
        </w:rPr>
        <w:t xml:space="preserve">Hobday </w:t>
      </w:r>
      <w:r w:rsidR="006B1B14" w:rsidRPr="00A34CD9">
        <w:rPr>
          <w:rFonts w:cstheme="minorHAnsi"/>
          <w:i/>
          <w:noProof/>
          <w:lang w:val="en-GB"/>
        </w:rPr>
        <w:t>et al.</w:t>
      </w:r>
      <w:r w:rsidR="006B1B14" w:rsidRPr="00A34CD9">
        <w:rPr>
          <w:rFonts w:cstheme="minorHAnsi"/>
          <w:noProof/>
          <w:lang w:val="en-GB"/>
        </w:rPr>
        <w:t xml:space="preserve"> </w:t>
      </w:r>
      <w:r w:rsidR="00FD797F" w:rsidRPr="00A34CD9">
        <w:rPr>
          <w:rFonts w:cstheme="minorHAnsi"/>
          <w:noProof/>
          <w:lang w:val="en-GB"/>
        </w:rPr>
        <w:t>(</w:t>
      </w:r>
      <w:r w:rsidR="006B1B14" w:rsidRPr="00A34CD9">
        <w:rPr>
          <w:rFonts w:cstheme="minorHAnsi"/>
          <w:noProof/>
          <w:lang w:val="en-GB"/>
        </w:rPr>
        <w:t>2007)</w:t>
      </w:r>
      <w:r w:rsidR="006B1B14" w:rsidRPr="00A34CD9">
        <w:rPr>
          <w:rFonts w:cstheme="minorHAnsi"/>
          <w:lang w:val="en-GB"/>
        </w:rPr>
        <w:fldChar w:fldCharType="end"/>
      </w:r>
      <w:r w:rsidR="006B1B14" w:rsidRPr="00A34CD9">
        <w:rPr>
          <w:rFonts w:cstheme="minorHAnsi"/>
          <w:lang w:val="en-GB"/>
        </w:rPr>
        <w:t xml:space="preserve"> and was scored based on</w:t>
      </w:r>
      <w:r w:rsidR="00644176" w:rsidRPr="00A34CD9">
        <w:rPr>
          <w:rFonts w:cstheme="minorHAnsi"/>
          <w:lang w:val="en-GB"/>
        </w:rPr>
        <w:t xml:space="preserve"> </w:t>
      </w:r>
      <w:r w:rsidR="00644176" w:rsidRPr="00A34CD9">
        <w:rPr>
          <w:rFonts w:cstheme="minorHAnsi"/>
          <w:lang w:val="en-GB"/>
        </w:rPr>
        <w:fldChar w:fldCharType="begin" w:fldLock="1"/>
      </w:r>
      <w:r w:rsidR="00D76F41" w:rsidRPr="00A34CD9">
        <w:rPr>
          <w:rFonts w:cstheme="minorHAnsi"/>
          <w:lang w:val="en-GB"/>
        </w:rPr>
        <w:instrText>ADDIN CSL_CITATION {"citationItems":[{"id":"ITEM-1","itemData":{"DOI":"10.1016/j.biocon.2013.09.019","ISSN":"00063207","abstract":"The potential risk to cetacean species from direct interaction with fisheries was assessed using a screening procedure based on a Productivity Susceptibility Analysis (PSA). The procedure incorporated productivity attributes specific to cetaceans; a measure of data quality to identify areas where information was lacking; a measure of the potential of different fishing gears to capture different cetacean species; and susceptibility attributes designed for scenarios with limited information on species abundance and distribution. The assessment was not temporally or spatially explicit but used examples of static and mobile gears found in Ireland, and much of Europe, to demonstrate the approach. Gillnets targeting demersal species was assessed as the fishery posing greatest potential risk to cetaceans. Pelagic trawls targeting small pelagic species was also assessed as posing moderate potential risk to cetaceans, although the risk score was lower than for gillnets. The risk of specific species-gear interactions, such as the potential for entanglement between humpback whales and pots and traps, was also identified. Designed to complement existing methods of bycatch assessment, this approach is a systematic, repeatable and standardised assessment, the outputs of which can enable the prioritization of resources for research and monitoring. The approach can be easily adapted to examine risk to cetaceans posed by fisheries around the world. © 2013 Elsevier Ltd.","author":[{"dropping-particle":"","family":"Brown","given":"Susie L.","non-dropping-particle":"","parse-names":false,"suffix":""},{"dropping-particle":"","family":"Reid","given":"David","non-dropping-particle":"","parse-names":false,"suffix":""},{"dropping-particle":"","family":"Rogan","given":"Emer","non-dropping-particle":"","parse-names":false,"suffix":""}],"container-title":"Biological Conservation","id":"ITEM-1","issued":{"date-parts":[["2013","12","1"]]},"page":"78-87","publisher":"Elsevier","title":"A risk-based approach to rapidly screen vulnerability of cetaceans to impacts from fisheries bycatch","type":"article-journal","volume":"168"},"uris":["http://www.mendeley.com/documents/?uuid=21cdb5dc-7d9b-31ba-8714-5972be42f50e"]}],"mendeley":{"formattedCitation":"(Brown &lt;i&gt;et al.&lt;/i&gt;, 2013)","manualFormatting":"Brown et al. (2013)","plainTextFormattedCitation":"(Brown et al., 2013)","previouslyFormattedCitation":"(Brown &lt;i&gt;et al.&lt;/i&gt;, 2013)"},"properties":{"noteIndex":0},"schema":"https://github.com/citation-style-language/schema/raw/master/csl-citation.json"}</w:instrText>
      </w:r>
      <w:r w:rsidR="00644176" w:rsidRPr="00A34CD9">
        <w:rPr>
          <w:rFonts w:cstheme="minorHAnsi"/>
          <w:lang w:val="en-GB"/>
        </w:rPr>
        <w:fldChar w:fldCharType="separate"/>
      </w:r>
      <w:r w:rsidR="00644176" w:rsidRPr="00A34CD9">
        <w:rPr>
          <w:rFonts w:cstheme="minorHAnsi"/>
          <w:noProof/>
          <w:lang w:val="en-GB"/>
        </w:rPr>
        <w:t xml:space="preserve">Brown </w:t>
      </w:r>
      <w:r w:rsidR="00644176" w:rsidRPr="00A34CD9">
        <w:rPr>
          <w:rFonts w:cstheme="minorHAnsi"/>
          <w:i/>
          <w:noProof/>
          <w:lang w:val="en-GB"/>
        </w:rPr>
        <w:t>et al.</w:t>
      </w:r>
      <w:r w:rsidR="00644176" w:rsidRPr="00A34CD9">
        <w:rPr>
          <w:rFonts w:cstheme="minorHAnsi"/>
          <w:noProof/>
          <w:lang w:val="en-GB"/>
        </w:rPr>
        <w:t xml:space="preserve"> (2013)</w:t>
      </w:r>
      <w:r w:rsidR="00644176" w:rsidRPr="00A34CD9">
        <w:rPr>
          <w:rFonts w:cstheme="minorHAnsi"/>
          <w:lang w:val="en-GB"/>
        </w:rPr>
        <w:fldChar w:fldCharType="end"/>
      </w:r>
      <w:r w:rsidR="00644176" w:rsidRPr="00A34CD9">
        <w:rPr>
          <w:rFonts w:cstheme="minorHAnsi"/>
          <w:lang w:val="en-GB"/>
        </w:rPr>
        <w:t xml:space="preserve"> and the probability of the interaction between a</w:t>
      </w:r>
      <w:r w:rsidR="00FD797F" w:rsidRPr="00A34CD9">
        <w:rPr>
          <w:rFonts w:cstheme="minorHAnsi"/>
          <w:lang w:val="en-GB"/>
        </w:rPr>
        <w:t>n</w:t>
      </w:r>
      <w:r w:rsidR="00644176" w:rsidRPr="00A34CD9">
        <w:rPr>
          <w:rFonts w:cstheme="minorHAnsi"/>
          <w:lang w:val="en-GB"/>
        </w:rPr>
        <w:t xml:space="preserve"> individual and the gear to result in death, injury or </w:t>
      </w:r>
      <w:r w:rsidR="00FD797F" w:rsidRPr="00A34CD9">
        <w:rPr>
          <w:rFonts w:cstheme="minorHAnsi"/>
          <w:lang w:val="en-GB"/>
        </w:rPr>
        <w:t>neither.</w:t>
      </w:r>
      <w:r w:rsidR="008D7937" w:rsidRPr="00A34CD9">
        <w:rPr>
          <w:rFonts w:cstheme="minorHAnsi"/>
          <w:lang w:val="en-GB"/>
        </w:rPr>
        <w:t xml:space="preserve"> </w:t>
      </w:r>
      <w:r w:rsidR="00E85DE7" w:rsidRPr="00A34CD9">
        <w:rPr>
          <w:rFonts w:cstheme="minorHAnsi"/>
          <w:lang w:val="en-GB"/>
        </w:rPr>
        <w:t>Thus, b</w:t>
      </w:r>
      <w:r w:rsidR="00FA1760" w:rsidRPr="00A34CD9">
        <w:rPr>
          <w:rFonts w:cstheme="minorHAnsi"/>
          <w:lang w:val="en-GB"/>
        </w:rPr>
        <w:t xml:space="preserve">ased on the data collected by the onboard observers, </w:t>
      </w:r>
      <w:r w:rsidR="00EA448E" w:rsidRPr="00A34CD9">
        <w:rPr>
          <w:rFonts w:cstheme="minorHAnsi"/>
          <w:lang w:val="en-GB"/>
        </w:rPr>
        <w:t xml:space="preserve">the </w:t>
      </w:r>
      <w:r w:rsidR="00C11EA1" w:rsidRPr="00A34CD9">
        <w:rPr>
          <w:rFonts w:cstheme="minorHAnsi"/>
          <w:lang w:val="en-GB"/>
        </w:rPr>
        <w:t xml:space="preserve">interaction with both gears </w:t>
      </w:r>
      <w:r w:rsidR="00FA1760" w:rsidRPr="00A34CD9">
        <w:rPr>
          <w:rFonts w:cstheme="minorHAnsi"/>
          <w:lang w:val="en-GB"/>
        </w:rPr>
        <w:t xml:space="preserve">is </w:t>
      </w:r>
      <w:r w:rsidR="00C11EA1" w:rsidRPr="00A34CD9">
        <w:rPr>
          <w:rFonts w:cstheme="minorHAnsi"/>
          <w:lang w:val="en-GB"/>
        </w:rPr>
        <w:t>more likely to result in injury</w:t>
      </w:r>
      <w:r w:rsidR="00F509E5" w:rsidRPr="00A34CD9">
        <w:rPr>
          <w:rFonts w:cstheme="minorHAnsi"/>
          <w:lang w:val="en-GB"/>
        </w:rPr>
        <w:t xml:space="preserve"> </w:t>
      </w:r>
      <w:r w:rsidR="00C11EA1" w:rsidRPr="00A34CD9">
        <w:rPr>
          <w:rFonts w:cstheme="minorHAnsi"/>
          <w:lang w:val="en-GB"/>
        </w:rPr>
        <w:t>than in dead</w:t>
      </w:r>
      <w:r w:rsidR="00E85DE7" w:rsidRPr="00A34CD9">
        <w:rPr>
          <w:rFonts w:cstheme="minorHAnsi"/>
          <w:lang w:val="en-GB"/>
        </w:rPr>
        <w:t xml:space="preserve"> and this attribute was scored as </w:t>
      </w:r>
      <w:r w:rsidR="000367E1" w:rsidRPr="00A34CD9">
        <w:rPr>
          <w:rFonts w:cstheme="minorHAnsi"/>
          <w:lang w:val="en-GB"/>
        </w:rPr>
        <w:t>moderate (</w:t>
      </w:r>
      <w:r w:rsidR="000367E1" w:rsidRPr="00A34CD9">
        <w:rPr>
          <w:rFonts w:cstheme="minorHAnsi"/>
          <w:i/>
          <w:iCs/>
          <w:lang w:val="en-GB"/>
        </w:rPr>
        <w:t>i.e.</w:t>
      </w:r>
      <w:r w:rsidR="000367E1" w:rsidRPr="00A34CD9">
        <w:rPr>
          <w:rFonts w:cstheme="minorHAnsi"/>
          <w:lang w:val="en-GB"/>
        </w:rPr>
        <w:t>, 2)</w:t>
      </w:r>
      <w:r w:rsidR="00C11EA1" w:rsidRPr="00A34CD9">
        <w:rPr>
          <w:rFonts w:cstheme="minorHAnsi"/>
          <w:lang w:val="en-GB"/>
        </w:rPr>
        <w:t>.</w:t>
      </w:r>
    </w:p>
    <w:p w14:paraId="49F4EE18" w14:textId="14F9A5A8" w:rsidR="00422FA2" w:rsidRPr="00A34CD9" w:rsidRDefault="0030699F" w:rsidP="002A528E">
      <w:pPr>
        <w:numPr>
          <w:ilvl w:val="2"/>
          <w:numId w:val="3"/>
        </w:numPr>
        <w:suppressLineNumbers/>
        <w:spacing w:line="480" w:lineRule="auto"/>
        <w:outlineLvl w:val="2"/>
        <w:rPr>
          <w:rFonts w:cstheme="minorHAnsi"/>
          <w:b/>
          <w:bCs/>
          <w:lang w:val="en-GB"/>
        </w:rPr>
      </w:pPr>
      <w:r w:rsidRPr="00A34CD9">
        <w:rPr>
          <w:rFonts w:cstheme="minorHAnsi"/>
          <w:b/>
          <w:bCs/>
          <w:lang w:val="en-GB"/>
        </w:rPr>
        <w:t>P</w:t>
      </w:r>
      <w:r w:rsidR="00422FA2" w:rsidRPr="00A34CD9">
        <w:rPr>
          <w:rFonts w:cstheme="minorHAnsi"/>
          <w:b/>
          <w:bCs/>
          <w:lang w:val="en-GB"/>
        </w:rPr>
        <w:t>otential risk</w:t>
      </w:r>
    </w:p>
    <w:p w14:paraId="37B395CB" w14:textId="202E90BF" w:rsidR="00422FA2" w:rsidRPr="00A34CD9" w:rsidRDefault="00422FA2" w:rsidP="002A528E">
      <w:pPr>
        <w:suppressLineNumbers/>
        <w:spacing w:line="480" w:lineRule="auto"/>
        <w:jc w:val="both"/>
        <w:rPr>
          <w:rFonts w:cstheme="minorHAnsi"/>
          <w:lang w:val="en-GB"/>
        </w:rPr>
      </w:pPr>
      <w:r w:rsidRPr="00A34CD9">
        <w:rPr>
          <w:rFonts w:cstheme="minorHAnsi"/>
          <w:lang w:val="en-GB"/>
        </w:rPr>
        <w:t xml:space="preserve">The potential risk (R) was calculated </w:t>
      </w:r>
      <w:r w:rsidR="00682350" w:rsidRPr="00A34CD9">
        <w:rPr>
          <w:rFonts w:cstheme="minorHAnsi"/>
          <w:lang w:val="en-GB"/>
        </w:rPr>
        <w:t xml:space="preserve">based on the productivity (P) and susceptibility (S) scores </w:t>
      </w:r>
      <w:r w:rsidRPr="00A34CD9">
        <w:rPr>
          <w:rFonts w:cstheme="minorHAnsi"/>
          <w:lang w:val="en-GB"/>
        </w:rPr>
        <w:t>as</w:t>
      </w:r>
      <w:r w:rsidR="004A2991" w:rsidRPr="00A34CD9">
        <w:rPr>
          <w:rFonts w:cstheme="minorHAnsi"/>
          <w:lang w:val="en-GB"/>
        </w:rPr>
        <w:t xml:space="preserve"> the Euclidean distance from the origin on a two-dimensional plot of productivity and susceptibility</w:t>
      </w:r>
      <w:r w:rsidRPr="00A34CD9">
        <w:rPr>
          <w:rFonts w:cstheme="minorHAnsi"/>
          <w:lang w:val="en-GB"/>
        </w:rPr>
        <w:t>:</w:t>
      </w:r>
    </w:p>
    <w:p w14:paraId="7F864D55" w14:textId="52864731" w:rsidR="00422FA2" w:rsidRPr="00A34CD9" w:rsidRDefault="00422FA2" w:rsidP="002A528E">
      <w:pPr>
        <w:suppressLineNumbers/>
        <w:spacing w:line="480" w:lineRule="auto"/>
        <w:jc w:val="center"/>
        <w:rPr>
          <w:rFonts w:eastAsiaTheme="minorEastAsia" w:cstheme="minorHAnsi"/>
          <w:lang w:val="en-GB"/>
        </w:rPr>
      </w:pPr>
      <m:oMath>
        <m:r>
          <w:rPr>
            <w:rFonts w:ascii="Cambria Math" w:hAnsi="Cambria Math" w:cstheme="minorHAnsi"/>
            <w:sz w:val="20"/>
            <w:szCs w:val="20"/>
            <w:lang w:val="en-GB"/>
          </w:rPr>
          <m:t>R=</m:t>
        </m:r>
        <m:rad>
          <m:radPr>
            <m:degHide m:val="1"/>
            <m:ctrlPr>
              <w:rPr>
                <w:rFonts w:ascii="Cambria Math" w:hAnsi="Cambria Math" w:cstheme="minorHAnsi"/>
                <w:i/>
                <w:sz w:val="20"/>
                <w:szCs w:val="20"/>
                <w:lang w:val="en-GB"/>
              </w:rPr>
            </m:ctrlPr>
          </m:radPr>
          <m:deg/>
          <m:e>
            <m:sSup>
              <m:sSupPr>
                <m:ctrlPr>
                  <w:rPr>
                    <w:rFonts w:ascii="Cambria Math" w:hAnsi="Cambria Math" w:cstheme="minorHAnsi"/>
                    <w:i/>
                    <w:sz w:val="20"/>
                    <w:szCs w:val="20"/>
                    <w:lang w:val="en-GB"/>
                  </w:rPr>
                </m:ctrlPr>
              </m:sSupPr>
              <m:e>
                <m:r>
                  <w:rPr>
                    <w:rFonts w:ascii="Cambria Math" w:hAnsi="Cambria Math" w:cstheme="minorHAnsi"/>
                    <w:sz w:val="20"/>
                    <w:szCs w:val="20"/>
                    <w:lang w:val="en-GB"/>
                  </w:rPr>
                  <m:t>P</m:t>
                </m:r>
              </m:e>
              <m:sup>
                <m:r>
                  <w:rPr>
                    <w:rFonts w:ascii="Cambria Math" w:hAnsi="Cambria Math" w:cstheme="minorHAnsi"/>
                    <w:sz w:val="20"/>
                    <w:szCs w:val="20"/>
                    <w:lang w:val="en-GB"/>
                  </w:rPr>
                  <m:t>2</m:t>
                </m:r>
              </m:sup>
            </m:sSup>
            <m:r>
              <w:rPr>
                <w:rFonts w:ascii="Cambria Math" w:hAnsi="Cambria Math" w:cstheme="minorHAnsi"/>
                <w:sz w:val="20"/>
                <w:szCs w:val="20"/>
                <w:lang w:val="en-GB"/>
              </w:rPr>
              <m:t xml:space="preserve">+ </m:t>
            </m:r>
            <m:sSup>
              <m:sSupPr>
                <m:ctrlPr>
                  <w:rPr>
                    <w:rFonts w:ascii="Cambria Math" w:hAnsi="Cambria Math" w:cstheme="minorHAnsi"/>
                    <w:i/>
                    <w:sz w:val="20"/>
                    <w:szCs w:val="20"/>
                    <w:lang w:val="en-GB"/>
                  </w:rPr>
                </m:ctrlPr>
              </m:sSupPr>
              <m:e>
                <m:r>
                  <w:rPr>
                    <w:rFonts w:ascii="Cambria Math" w:hAnsi="Cambria Math" w:cstheme="minorHAnsi"/>
                    <w:sz w:val="20"/>
                    <w:szCs w:val="20"/>
                    <w:lang w:val="en-GB"/>
                  </w:rPr>
                  <m:t>S</m:t>
                </m:r>
              </m:e>
              <m:sup>
                <m:r>
                  <w:rPr>
                    <w:rFonts w:ascii="Cambria Math" w:hAnsi="Cambria Math" w:cstheme="minorHAnsi"/>
                    <w:sz w:val="20"/>
                    <w:szCs w:val="20"/>
                    <w:lang w:val="en-GB"/>
                  </w:rPr>
                  <m:t>2</m:t>
                </m:r>
              </m:sup>
            </m:sSup>
          </m:e>
        </m:rad>
      </m:oMath>
      <w:r w:rsidRPr="00A34CD9">
        <w:rPr>
          <w:rFonts w:eastAsiaTheme="minorEastAsia" w:cstheme="minorHAnsi"/>
          <w:lang w:val="en-GB"/>
        </w:rPr>
        <w:tab/>
      </w:r>
      <w:r w:rsidRPr="00A34CD9">
        <w:rPr>
          <w:rFonts w:eastAsiaTheme="minorEastAsia" w:cstheme="minorHAnsi"/>
          <w:lang w:val="en-GB"/>
        </w:rPr>
        <w:tab/>
        <w:t>(</w:t>
      </w:r>
      <w:r w:rsidR="00EE66F0" w:rsidRPr="00A34CD9">
        <w:rPr>
          <w:rFonts w:eastAsiaTheme="minorEastAsia" w:cstheme="minorHAnsi"/>
          <w:lang w:val="en-GB"/>
        </w:rPr>
        <w:t>5</w:t>
      </w:r>
      <w:r w:rsidRPr="00A34CD9">
        <w:rPr>
          <w:rFonts w:eastAsiaTheme="minorEastAsia" w:cstheme="minorHAnsi"/>
          <w:lang w:val="en-GB"/>
        </w:rPr>
        <w:t>)</w:t>
      </w:r>
    </w:p>
    <w:p w14:paraId="0465F47A" w14:textId="25CF3B3C" w:rsidR="00B149E0" w:rsidRPr="00A34CD9" w:rsidRDefault="00B149E0" w:rsidP="002A528E">
      <w:pPr>
        <w:suppressLineNumbers/>
        <w:spacing w:line="480" w:lineRule="auto"/>
        <w:jc w:val="both"/>
        <w:rPr>
          <w:rFonts w:eastAsiaTheme="minorEastAsia" w:cstheme="minorHAnsi"/>
          <w:lang w:val="en-GB"/>
        </w:rPr>
      </w:pPr>
      <w:r w:rsidRPr="00A34CD9">
        <w:rPr>
          <w:rFonts w:cstheme="minorHAnsi"/>
          <w:lang w:val="en-GB"/>
        </w:rPr>
        <w:lastRenderedPageBreak/>
        <w:t xml:space="preserve">Potential risk scores </w:t>
      </w:r>
      <w:r w:rsidR="000367E1" w:rsidRPr="00A34CD9">
        <w:rPr>
          <w:rFonts w:cstheme="minorHAnsi"/>
          <w:lang w:val="en-GB"/>
        </w:rPr>
        <w:t xml:space="preserve">can </w:t>
      </w:r>
      <w:proofErr w:type="gramStart"/>
      <w:r w:rsidRPr="00A34CD9">
        <w:rPr>
          <w:rFonts w:cstheme="minorHAnsi"/>
          <w:lang w:val="en-GB"/>
        </w:rPr>
        <w:t>ranged</w:t>
      </w:r>
      <w:proofErr w:type="gramEnd"/>
      <w:r w:rsidRPr="00A34CD9">
        <w:rPr>
          <w:rFonts w:cstheme="minorHAnsi"/>
          <w:lang w:val="en-GB"/>
        </w:rPr>
        <w:t xml:space="preserve"> from 1 (all scores are equal to 1) to 4.24 (all scores are equal to 3) being considered a species to be at low risk if the potential risk score is lower than 2.64, medium risk if between 2.64 and 3.18 and high risk if greater than 3.18. Potential risk scores were calculated for each </w:t>
      </w:r>
      <w:r w:rsidR="003F0AB6">
        <w:rPr>
          <w:rFonts w:cstheme="minorHAnsi"/>
          <w:lang w:val="en-GB"/>
        </w:rPr>
        <w:t>metier</w:t>
      </w:r>
      <w:r w:rsidRPr="00A34CD9">
        <w:rPr>
          <w:rFonts w:cstheme="minorHAnsi"/>
          <w:lang w:val="en-GB"/>
        </w:rPr>
        <w:t xml:space="preserve"> and on a cell-by-cell basis, stratified by year.</w:t>
      </w:r>
    </w:p>
    <w:p w14:paraId="12938A59" w14:textId="44E72C23" w:rsidR="009459D6" w:rsidRPr="00A34CD9" w:rsidRDefault="00681F69" w:rsidP="002A528E">
      <w:pPr>
        <w:pStyle w:val="Ttulo1"/>
        <w:numPr>
          <w:ilvl w:val="0"/>
          <w:numId w:val="3"/>
        </w:numPr>
        <w:suppressLineNumbers/>
        <w:jc w:val="both"/>
        <w:rPr>
          <w:rFonts w:asciiTheme="minorHAnsi" w:hAnsiTheme="minorHAnsi" w:cstheme="minorHAnsi"/>
          <w:lang w:val="en-GB"/>
        </w:rPr>
      </w:pPr>
      <w:r w:rsidRPr="00A34CD9">
        <w:rPr>
          <w:rFonts w:asciiTheme="minorHAnsi" w:hAnsiTheme="minorHAnsi" w:cstheme="minorHAnsi"/>
          <w:lang w:val="en-GB"/>
        </w:rPr>
        <w:t>RESULTS</w:t>
      </w:r>
    </w:p>
    <w:p w14:paraId="73D5C496" w14:textId="15638B71" w:rsidR="007349ED" w:rsidRPr="00A34CD9" w:rsidRDefault="000C5CBC" w:rsidP="002A528E">
      <w:pPr>
        <w:pStyle w:val="Prrafodelista"/>
        <w:numPr>
          <w:ilvl w:val="1"/>
          <w:numId w:val="3"/>
        </w:numPr>
        <w:suppressLineNumbers/>
        <w:spacing w:line="480" w:lineRule="auto"/>
        <w:outlineLvl w:val="1"/>
        <w:rPr>
          <w:rFonts w:cstheme="minorHAnsi"/>
          <w:b/>
          <w:bCs/>
          <w:sz w:val="24"/>
          <w:szCs w:val="24"/>
          <w:lang w:val="en-GB"/>
        </w:rPr>
      </w:pPr>
      <w:proofErr w:type="spellStart"/>
      <w:r w:rsidRPr="00A34CD9">
        <w:rPr>
          <w:rFonts w:cstheme="minorHAnsi"/>
          <w:b/>
          <w:bCs/>
          <w:sz w:val="24"/>
          <w:szCs w:val="24"/>
          <w:lang w:val="en-GB"/>
        </w:rPr>
        <w:t>Spatio</w:t>
      </w:r>
      <w:proofErr w:type="spellEnd"/>
      <w:r w:rsidRPr="00A34CD9">
        <w:rPr>
          <w:rFonts w:cstheme="minorHAnsi"/>
          <w:b/>
          <w:bCs/>
          <w:sz w:val="24"/>
          <w:szCs w:val="24"/>
          <w:lang w:val="en-GB"/>
        </w:rPr>
        <w:t>-temporal patterns</w:t>
      </w:r>
      <w:r w:rsidR="00B56383" w:rsidRPr="00A34CD9">
        <w:rPr>
          <w:rFonts w:cstheme="minorHAnsi"/>
          <w:b/>
          <w:bCs/>
          <w:sz w:val="24"/>
          <w:szCs w:val="24"/>
          <w:lang w:val="en-GB"/>
        </w:rPr>
        <w:t xml:space="preserve"> of seabird abundance</w:t>
      </w:r>
    </w:p>
    <w:p w14:paraId="739510F4" w14:textId="237F3EEB" w:rsidR="0075542B" w:rsidRPr="00A34CD9" w:rsidRDefault="00C03824" w:rsidP="002A528E">
      <w:pPr>
        <w:suppressLineNumbers/>
        <w:spacing w:line="480" w:lineRule="auto"/>
        <w:jc w:val="both"/>
        <w:rPr>
          <w:rFonts w:cstheme="minorHAnsi"/>
          <w:lang w:val="en-GB"/>
        </w:rPr>
      </w:pPr>
      <w:r w:rsidRPr="00A34CD9">
        <w:rPr>
          <w:rFonts w:cstheme="minorHAnsi"/>
          <w:lang w:val="en-GB"/>
        </w:rPr>
        <w:t>A total of 15</w:t>
      </w:r>
      <w:r w:rsidR="00284A56" w:rsidRPr="00A34CD9">
        <w:rPr>
          <w:rFonts w:cstheme="minorHAnsi"/>
          <w:lang w:val="en-GB"/>
        </w:rPr>
        <w:t>,</w:t>
      </w:r>
      <w:r w:rsidRPr="00A34CD9">
        <w:rPr>
          <w:rFonts w:cstheme="minorHAnsi"/>
          <w:lang w:val="en-GB"/>
        </w:rPr>
        <w:t xml:space="preserve">944 km </w:t>
      </w:r>
      <w:proofErr w:type="gramStart"/>
      <w:r w:rsidRPr="00A34CD9">
        <w:rPr>
          <w:rFonts w:cstheme="minorHAnsi"/>
          <w:lang w:val="en-GB"/>
        </w:rPr>
        <w:t>were</w:t>
      </w:r>
      <w:proofErr w:type="gramEnd"/>
      <w:r w:rsidRPr="00A34CD9">
        <w:rPr>
          <w:rFonts w:cstheme="minorHAnsi"/>
          <w:lang w:val="en-GB"/>
        </w:rPr>
        <w:t xml:space="preserve"> surveyed during the period 2013-2019</w:t>
      </w:r>
      <w:r w:rsidR="006B3FAC" w:rsidRPr="00A34CD9">
        <w:rPr>
          <w:rFonts w:cstheme="minorHAnsi"/>
          <w:lang w:val="en-GB"/>
        </w:rPr>
        <w:t xml:space="preserve"> from which 12,050 surveyed km remained</w:t>
      </w:r>
      <w:r w:rsidR="00D007E3" w:rsidRPr="00A34CD9">
        <w:rPr>
          <w:rFonts w:cstheme="minorHAnsi"/>
          <w:lang w:val="en-GB"/>
        </w:rPr>
        <w:t xml:space="preserve"> </w:t>
      </w:r>
      <w:r w:rsidR="006B3FAC" w:rsidRPr="00A34CD9">
        <w:rPr>
          <w:rFonts w:cstheme="minorHAnsi"/>
          <w:lang w:val="en-GB"/>
        </w:rPr>
        <w:t>a</w:t>
      </w:r>
      <w:r w:rsidR="00D007E3" w:rsidRPr="00A34CD9">
        <w:rPr>
          <w:rFonts w:cstheme="minorHAnsi"/>
          <w:lang w:val="en-GB"/>
        </w:rPr>
        <w:t>fter filtering for weather conditions</w:t>
      </w:r>
      <w:r w:rsidR="006B3FAC" w:rsidRPr="00A34CD9">
        <w:rPr>
          <w:rFonts w:cstheme="minorHAnsi"/>
          <w:lang w:val="en-GB"/>
        </w:rPr>
        <w:t>. A</w:t>
      </w:r>
      <w:r w:rsidR="0036614C" w:rsidRPr="00A34CD9">
        <w:rPr>
          <w:rFonts w:cstheme="minorHAnsi"/>
          <w:lang w:val="en-GB"/>
        </w:rPr>
        <w:t xml:space="preserve"> global number</w:t>
      </w:r>
      <w:r w:rsidRPr="00A34CD9">
        <w:rPr>
          <w:rFonts w:cstheme="minorHAnsi"/>
          <w:lang w:val="en-GB"/>
        </w:rPr>
        <w:t xml:space="preserve"> of </w:t>
      </w:r>
      <w:r w:rsidR="008E4D5C" w:rsidRPr="00A34CD9">
        <w:rPr>
          <w:rFonts w:cstheme="minorHAnsi"/>
          <w:lang w:val="en-GB"/>
        </w:rPr>
        <w:t>954</w:t>
      </w:r>
      <w:r w:rsidRPr="00A34CD9">
        <w:rPr>
          <w:rFonts w:cstheme="minorHAnsi"/>
          <w:lang w:val="en-GB"/>
        </w:rPr>
        <w:t xml:space="preserve"> sightings of great shearwaters were </w:t>
      </w:r>
      <w:r w:rsidR="003F0AB6">
        <w:rPr>
          <w:rFonts w:cstheme="minorHAnsi"/>
          <w:lang w:val="en-GB"/>
        </w:rPr>
        <w:t>recorded</w:t>
      </w:r>
      <w:r w:rsidR="00FB5A17" w:rsidRPr="00A34CD9">
        <w:rPr>
          <w:rFonts w:cstheme="minorHAnsi"/>
          <w:lang w:val="en-GB"/>
        </w:rPr>
        <w:t xml:space="preserve"> w</w:t>
      </w:r>
      <w:r w:rsidR="0036614C" w:rsidRPr="00A34CD9">
        <w:rPr>
          <w:rFonts w:cstheme="minorHAnsi"/>
          <w:lang w:val="en-GB"/>
        </w:rPr>
        <w:t xml:space="preserve">ith a </w:t>
      </w:r>
      <w:r w:rsidRPr="00A34CD9">
        <w:rPr>
          <w:rFonts w:cstheme="minorHAnsi"/>
          <w:lang w:val="en-GB"/>
        </w:rPr>
        <w:t>total</w:t>
      </w:r>
      <w:r w:rsidR="0036614C" w:rsidRPr="00A34CD9">
        <w:rPr>
          <w:rFonts w:cstheme="minorHAnsi"/>
          <w:lang w:val="en-GB"/>
        </w:rPr>
        <w:t xml:space="preserve"> of</w:t>
      </w:r>
      <w:r w:rsidRPr="00A34CD9">
        <w:rPr>
          <w:rFonts w:cstheme="minorHAnsi"/>
          <w:lang w:val="en-GB"/>
        </w:rPr>
        <w:t xml:space="preserve"> 3</w:t>
      </w:r>
      <w:r w:rsidR="004E11D5" w:rsidRPr="00A34CD9">
        <w:rPr>
          <w:rFonts w:cstheme="minorHAnsi"/>
          <w:lang w:val="en-GB"/>
        </w:rPr>
        <w:t>338</w:t>
      </w:r>
      <w:r w:rsidRPr="00A34CD9">
        <w:rPr>
          <w:rFonts w:cstheme="minorHAnsi"/>
          <w:lang w:val="en-GB"/>
        </w:rPr>
        <w:t xml:space="preserve"> individuals</w:t>
      </w:r>
      <w:r w:rsidR="00FB5A17" w:rsidRPr="00A34CD9">
        <w:rPr>
          <w:rFonts w:cstheme="minorHAnsi"/>
          <w:lang w:val="en-GB"/>
        </w:rPr>
        <w:t xml:space="preserve"> observed</w:t>
      </w:r>
      <w:r w:rsidR="003F0AB6">
        <w:rPr>
          <w:rFonts w:cstheme="minorHAnsi"/>
          <w:lang w:val="en-GB"/>
        </w:rPr>
        <w:t xml:space="preserve"> </w:t>
      </w:r>
      <w:r w:rsidRPr="00A34CD9">
        <w:rPr>
          <w:rFonts w:cstheme="minorHAnsi"/>
          <w:lang w:val="en-GB"/>
        </w:rPr>
        <w:t>(</w:t>
      </w:r>
      <w:r w:rsidRPr="00A34CD9">
        <w:rPr>
          <w:rFonts w:cstheme="minorHAnsi"/>
          <w:color w:val="A6A6A6" w:themeColor="background1" w:themeShade="A6"/>
          <w:lang w:val="en-GB"/>
        </w:rPr>
        <w:t>Table</w:t>
      </w:r>
      <w:r w:rsidR="00DE4568" w:rsidRPr="00A34CD9">
        <w:rPr>
          <w:rFonts w:cstheme="minorHAnsi"/>
          <w:color w:val="A6A6A6" w:themeColor="background1" w:themeShade="A6"/>
          <w:lang w:val="en-GB"/>
        </w:rPr>
        <w:t xml:space="preserve"> </w:t>
      </w:r>
      <w:r w:rsidR="00AD54BC" w:rsidRPr="00A34CD9">
        <w:rPr>
          <w:rFonts w:cstheme="minorHAnsi"/>
          <w:color w:val="A6A6A6" w:themeColor="background1" w:themeShade="A6"/>
          <w:lang w:val="en-GB"/>
        </w:rPr>
        <w:t>2</w:t>
      </w:r>
      <w:r w:rsidRPr="00A34CD9">
        <w:rPr>
          <w:rFonts w:cstheme="minorHAnsi"/>
          <w:lang w:val="en-GB"/>
        </w:rPr>
        <w:t xml:space="preserve">). </w:t>
      </w:r>
      <w:r w:rsidR="00D007E3" w:rsidRPr="00A34CD9">
        <w:rPr>
          <w:rFonts w:cstheme="minorHAnsi"/>
          <w:lang w:val="en-GB"/>
        </w:rPr>
        <w:t xml:space="preserve">Then, </w:t>
      </w:r>
      <w:r w:rsidR="00BC58C4" w:rsidRPr="00A34CD9">
        <w:rPr>
          <w:rFonts w:cstheme="minorHAnsi"/>
          <w:lang w:val="en-GB"/>
        </w:rPr>
        <w:t xml:space="preserve">detection functions </w:t>
      </w:r>
      <w:r w:rsidR="00843814">
        <w:rPr>
          <w:rFonts w:cstheme="minorHAnsi"/>
          <w:lang w:val="en-GB"/>
        </w:rPr>
        <w:t xml:space="preserve">were developed </w:t>
      </w:r>
      <w:r w:rsidR="00BC58C4" w:rsidRPr="00A34CD9">
        <w:rPr>
          <w:rFonts w:cstheme="minorHAnsi"/>
          <w:lang w:val="en-GB"/>
        </w:rPr>
        <w:t xml:space="preserve">based on </w:t>
      </w:r>
      <w:r w:rsidR="004E11D5" w:rsidRPr="00A34CD9">
        <w:rPr>
          <w:rFonts w:cstheme="minorHAnsi"/>
          <w:lang w:val="en-GB"/>
        </w:rPr>
        <w:t>954</w:t>
      </w:r>
      <w:r w:rsidR="00367D61" w:rsidRPr="00A34CD9">
        <w:rPr>
          <w:rFonts w:cstheme="minorHAnsi"/>
          <w:lang w:val="en-GB"/>
        </w:rPr>
        <w:t xml:space="preserve"> great shearwater </w:t>
      </w:r>
      <w:r w:rsidR="00BC58C4" w:rsidRPr="00A34CD9">
        <w:rPr>
          <w:rFonts w:cstheme="minorHAnsi"/>
          <w:lang w:val="en-GB"/>
        </w:rPr>
        <w:t xml:space="preserve">sightings. </w:t>
      </w:r>
      <w:r w:rsidR="00C560AE" w:rsidRPr="00A34CD9">
        <w:rPr>
          <w:rFonts w:cstheme="minorHAnsi"/>
          <w:lang w:val="en-GB"/>
        </w:rPr>
        <w:t xml:space="preserve">The hazard‐rate function </w:t>
      </w:r>
      <w:r w:rsidR="00CF07E2" w:rsidRPr="00A34CD9">
        <w:rPr>
          <w:rFonts w:cstheme="minorHAnsi"/>
          <w:lang w:val="en-GB"/>
        </w:rPr>
        <w:t xml:space="preserve">with no adjustment terms </w:t>
      </w:r>
      <w:r w:rsidR="00843814">
        <w:rPr>
          <w:rFonts w:cstheme="minorHAnsi"/>
          <w:lang w:val="en-GB"/>
        </w:rPr>
        <w:t>including</w:t>
      </w:r>
      <w:r w:rsidR="00CF07E2" w:rsidRPr="00A34CD9">
        <w:rPr>
          <w:rFonts w:cstheme="minorHAnsi"/>
          <w:lang w:val="en-GB"/>
        </w:rPr>
        <w:t xml:space="preserve"> year and </w:t>
      </w:r>
      <w:r w:rsidR="001F26FB" w:rsidRPr="00A34CD9">
        <w:rPr>
          <w:rFonts w:cstheme="minorHAnsi"/>
          <w:lang w:val="en-GB"/>
        </w:rPr>
        <w:t xml:space="preserve">swell height categorized </w:t>
      </w:r>
      <w:r w:rsidR="00CF07E2" w:rsidRPr="00A34CD9">
        <w:rPr>
          <w:rFonts w:cstheme="minorHAnsi"/>
          <w:lang w:val="en-GB"/>
        </w:rPr>
        <w:t>as covariates was selected as the best‐fitting detection function</w:t>
      </w:r>
      <w:r w:rsidR="006A409B" w:rsidRPr="00A34CD9">
        <w:rPr>
          <w:rFonts w:cstheme="minorHAnsi"/>
          <w:lang w:val="en-GB"/>
        </w:rPr>
        <w:t xml:space="preserve"> based on </w:t>
      </w:r>
      <w:r w:rsidR="001B462B" w:rsidRPr="00A34CD9">
        <w:rPr>
          <w:rFonts w:cstheme="minorHAnsi"/>
          <w:lang w:val="en-GB"/>
        </w:rPr>
        <w:t>parsimony grounds</w:t>
      </w:r>
      <w:r w:rsidR="00CF07E2" w:rsidRPr="00A34CD9">
        <w:rPr>
          <w:rFonts w:cstheme="minorHAnsi"/>
          <w:lang w:val="en-GB"/>
        </w:rPr>
        <w:t xml:space="preserve"> (</w:t>
      </w:r>
      <w:r w:rsidR="008D0E63" w:rsidRPr="00A34CD9">
        <w:rPr>
          <w:rFonts w:cstheme="minorHAnsi"/>
          <w:color w:val="A6A6A6" w:themeColor="background1" w:themeShade="A6"/>
          <w:lang w:val="en-GB"/>
        </w:rPr>
        <w:t xml:space="preserve">Supplementary </w:t>
      </w:r>
      <w:r w:rsidR="00CF07E2" w:rsidRPr="00A34CD9">
        <w:rPr>
          <w:rFonts w:cstheme="minorHAnsi"/>
          <w:color w:val="A6A6A6" w:themeColor="background1" w:themeShade="A6"/>
          <w:lang w:val="en-GB"/>
        </w:rPr>
        <w:t xml:space="preserve">Table </w:t>
      </w:r>
      <w:r w:rsidR="00C547DC" w:rsidRPr="00A34CD9">
        <w:rPr>
          <w:rFonts w:cstheme="minorHAnsi"/>
          <w:color w:val="A6A6A6" w:themeColor="background1" w:themeShade="A6"/>
          <w:lang w:val="en-GB"/>
        </w:rPr>
        <w:t>B</w:t>
      </w:r>
      <w:r w:rsidR="00AD356D" w:rsidRPr="00A34CD9">
        <w:rPr>
          <w:rFonts w:cstheme="minorHAnsi"/>
          <w:color w:val="A6A6A6" w:themeColor="background1" w:themeShade="A6"/>
          <w:lang w:val="en-GB"/>
        </w:rPr>
        <w:t>.</w:t>
      </w:r>
      <w:r w:rsidR="00E52612" w:rsidRPr="00A34CD9">
        <w:rPr>
          <w:rFonts w:cstheme="minorHAnsi"/>
          <w:color w:val="A6A6A6" w:themeColor="background1" w:themeShade="A6"/>
          <w:lang w:val="en-GB"/>
        </w:rPr>
        <w:t>1</w:t>
      </w:r>
      <w:r w:rsidR="005E340C" w:rsidRPr="00A34CD9">
        <w:rPr>
          <w:rFonts w:cstheme="minorHAnsi"/>
          <w:color w:val="A6A6A6" w:themeColor="background1" w:themeShade="A6"/>
          <w:lang w:val="en-GB"/>
        </w:rPr>
        <w:t xml:space="preserve">, </w:t>
      </w:r>
      <w:r w:rsidR="008D0E63" w:rsidRPr="00A34CD9">
        <w:rPr>
          <w:rFonts w:cstheme="minorHAnsi"/>
          <w:color w:val="A6A6A6" w:themeColor="background1" w:themeShade="A6"/>
          <w:lang w:val="en-GB"/>
        </w:rPr>
        <w:t>Figure</w:t>
      </w:r>
      <w:r w:rsidR="00C547DC" w:rsidRPr="00A34CD9">
        <w:rPr>
          <w:rFonts w:cstheme="minorHAnsi"/>
          <w:color w:val="A6A6A6" w:themeColor="background1" w:themeShade="A6"/>
          <w:lang w:val="en-GB"/>
        </w:rPr>
        <w:t xml:space="preserve"> B.</w:t>
      </w:r>
      <w:r w:rsidR="00E52612" w:rsidRPr="00A34CD9">
        <w:rPr>
          <w:rFonts w:cstheme="minorHAnsi"/>
          <w:color w:val="A6A6A6" w:themeColor="background1" w:themeShade="A6"/>
          <w:lang w:val="en-GB"/>
        </w:rPr>
        <w:t>1</w:t>
      </w:r>
      <w:r w:rsidR="00CF07E2" w:rsidRPr="00A34CD9">
        <w:rPr>
          <w:rFonts w:cstheme="minorHAnsi"/>
          <w:lang w:val="en-GB"/>
        </w:rPr>
        <w:t>)</w:t>
      </w:r>
      <w:r w:rsidR="001B462B" w:rsidRPr="00A34CD9">
        <w:rPr>
          <w:rFonts w:cstheme="minorHAnsi"/>
          <w:lang w:val="en-GB"/>
        </w:rPr>
        <w:t xml:space="preserve"> from which</w:t>
      </w:r>
      <w:r w:rsidR="00F84B24" w:rsidRPr="00A34CD9">
        <w:rPr>
          <w:rFonts w:cstheme="minorHAnsi"/>
          <w:lang w:val="en-GB"/>
        </w:rPr>
        <w:t xml:space="preserve"> the corresponding ESW </w:t>
      </w:r>
      <w:r w:rsidR="001B462B" w:rsidRPr="00A34CD9">
        <w:rPr>
          <w:rFonts w:cstheme="minorHAnsi"/>
          <w:lang w:val="en-GB"/>
        </w:rPr>
        <w:t>were</w:t>
      </w:r>
      <w:r w:rsidR="00F84B24" w:rsidRPr="00A34CD9">
        <w:rPr>
          <w:rFonts w:cstheme="minorHAnsi"/>
          <w:lang w:val="en-GB"/>
        </w:rPr>
        <w:t xml:space="preserve"> </w:t>
      </w:r>
      <w:r w:rsidR="00B77776" w:rsidRPr="00A34CD9">
        <w:rPr>
          <w:rFonts w:cstheme="minorHAnsi"/>
          <w:lang w:val="en-GB"/>
        </w:rPr>
        <w:t>193.44</w:t>
      </w:r>
      <w:r w:rsidR="006A6532" w:rsidRPr="00A34CD9">
        <w:rPr>
          <w:rFonts w:cstheme="minorHAnsi"/>
          <w:lang w:val="en-GB"/>
        </w:rPr>
        <w:t>±75 m</w:t>
      </w:r>
      <w:r w:rsidR="00F84B24" w:rsidRPr="00A34CD9">
        <w:rPr>
          <w:rFonts w:cstheme="minorHAnsi"/>
          <w:lang w:val="en-GB"/>
        </w:rPr>
        <w:t>.</w:t>
      </w:r>
    </w:p>
    <w:p w14:paraId="6E061EC7" w14:textId="0A7B6B44" w:rsidR="00A13104" w:rsidRPr="00A34CD9" w:rsidRDefault="000A4E99" w:rsidP="002A528E">
      <w:pPr>
        <w:suppressLineNumbers/>
        <w:spacing w:line="480" w:lineRule="auto"/>
        <w:jc w:val="both"/>
        <w:rPr>
          <w:rFonts w:cstheme="minorHAnsi"/>
          <w:sz w:val="24"/>
          <w:szCs w:val="24"/>
          <w:lang w:val="en-GB"/>
        </w:rPr>
      </w:pPr>
      <w:r w:rsidRPr="00A34CD9">
        <w:rPr>
          <w:rFonts w:cstheme="minorHAnsi"/>
          <w:lang w:val="en-GB"/>
        </w:rPr>
        <w:t>A</w:t>
      </w:r>
      <w:r w:rsidR="00F76320" w:rsidRPr="00A34CD9">
        <w:rPr>
          <w:rFonts w:cstheme="minorHAnsi"/>
          <w:lang w:val="en-GB"/>
        </w:rPr>
        <w:t xml:space="preserve"> total of </w:t>
      </w:r>
      <w:r w:rsidR="00C12208" w:rsidRPr="00A34CD9">
        <w:rPr>
          <w:rFonts w:cstheme="minorHAnsi"/>
          <w:lang w:val="en-GB"/>
        </w:rPr>
        <w:t>1306</w:t>
      </w:r>
      <w:r w:rsidR="00F76320" w:rsidRPr="00A34CD9">
        <w:rPr>
          <w:rFonts w:cstheme="minorHAnsi"/>
          <w:lang w:val="en-GB"/>
        </w:rPr>
        <w:t xml:space="preserve"> segments of which </w:t>
      </w:r>
      <w:r w:rsidR="00D1487E" w:rsidRPr="00A34CD9">
        <w:rPr>
          <w:rFonts w:cstheme="minorHAnsi"/>
          <w:lang w:val="en-GB"/>
        </w:rPr>
        <w:t>308</w:t>
      </w:r>
      <w:r w:rsidR="00F76320" w:rsidRPr="00A34CD9">
        <w:rPr>
          <w:rFonts w:cstheme="minorHAnsi"/>
          <w:lang w:val="en-GB"/>
        </w:rPr>
        <w:t xml:space="preserve"> included </w:t>
      </w:r>
      <w:r w:rsidR="00A064D3" w:rsidRPr="00A34CD9">
        <w:rPr>
          <w:rFonts w:cstheme="minorHAnsi"/>
          <w:lang w:val="en-GB"/>
        </w:rPr>
        <w:t>3338</w:t>
      </w:r>
      <w:r w:rsidR="00F76320" w:rsidRPr="00A34CD9">
        <w:rPr>
          <w:rFonts w:cstheme="minorHAnsi"/>
          <w:lang w:val="en-GB"/>
        </w:rPr>
        <w:t xml:space="preserve"> individual</w:t>
      </w:r>
      <w:r w:rsidR="00A064D3" w:rsidRPr="00A34CD9">
        <w:rPr>
          <w:rFonts w:cstheme="minorHAnsi"/>
          <w:lang w:val="en-GB"/>
        </w:rPr>
        <w:t xml:space="preserve">s from 954 sightings </w:t>
      </w:r>
      <w:r w:rsidR="00F76320" w:rsidRPr="00A34CD9">
        <w:rPr>
          <w:rFonts w:cstheme="minorHAnsi"/>
          <w:lang w:val="en-GB"/>
        </w:rPr>
        <w:t xml:space="preserve">were used to fit </w:t>
      </w:r>
      <w:r w:rsidRPr="00A34CD9">
        <w:rPr>
          <w:rFonts w:cstheme="minorHAnsi"/>
          <w:lang w:val="en-GB"/>
        </w:rPr>
        <w:t>DSMs</w:t>
      </w:r>
      <w:r w:rsidR="00A74705" w:rsidRPr="00A34CD9">
        <w:rPr>
          <w:rFonts w:cstheme="minorHAnsi"/>
          <w:lang w:val="en-GB"/>
        </w:rPr>
        <w:t>.</w:t>
      </w:r>
      <w:r w:rsidR="00955E07" w:rsidRPr="00A34CD9">
        <w:rPr>
          <w:rFonts w:cstheme="minorHAnsi"/>
          <w:lang w:val="en-GB"/>
        </w:rPr>
        <w:t xml:space="preserve"> </w:t>
      </w:r>
      <w:r w:rsidR="00F44153" w:rsidRPr="00A34CD9">
        <w:rPr>
          <w:rFonts w:cstheme="minorHAnsi"/>
          <w:lang w:val="en-GB"/>
        </w:rPr>
        <w:t xml:space="preserve">Among highly correlated </w:t>
      </w:r>
      <w:r w:rsidR="00C72F52" w:rsidRPr="00A34CD9">
        <w:rPr>
          <w:rFonts w:cstheme="minorHAnsi"/>
          <w:lang w:val="en-GB"/>
        </w:rPr>
        <w:t>variables</w:t>
      </w:r>
      <w:r w:rsidR="00B577E1" w:rsidRPr="00A34CD9">
        <w:rPr>
          <w:rFonts w:cstheme="minorHAnsi"/>
          <w:lang w:val="en-GB"/>
        </w:rPr>
        <w:t>,</w:t>
      </w:r>
      <w:r w:rsidR="00F44153" w:rsidRPr="00A34CD9">
        <w:rPr>
          <w:rFonts w:cstheme="minorHAnsi"/>
          <w:lang w:val="en-GB"/>
        </w:rPr>
        <w:t xml:space="preserve"> </w:t>
      </w:r>
      <w:r w:rsidR="00450C79" w:rsidRPr="00A34CD9">
        <w:rPr>
          <w:rFonts w:cstheme="minorHAnsi"/>
          <w:lang w:val="en-GB"/>
        </w:rPr>
        <w:t xml:space="preserve">BAT and </w:t>
      </w:r>
      <w:proofErr w:type="spellStart"/>
      <w:r w:rsidR="00450C79" w:rsidRPr="00A34CD9">
        <w:rPr>
          <w:rFonts w:cstheme="minorHAnsi"/>
          <w:lang w:val="en-GB"/>
        </w:rPr>
        <w:t>DistSB</w:t>
      </w:r>
      <w:proofErr w:type="spellEnd"/>
      <w:r w:rsidR="00450C79" w:rsidRPr="00A34CD9">
        <w:rPr>
          <w:rFonts w:cstheme="minorHAnsi"/>
          <w:lang w:val="en-GB"/>
        </w:rPr>
        <w:t xml:space="preserve"> were the least explicative variables (</w:t>
      </w:r>
      <w:r w:rsidR="00C81912" w:rsidRPr="00A34CD9">
        <w:rPr>
          <w:rFonts w:cstheme="minorHAnsi"/>
          <w:lang w:val="en-GB"/>
        </w:rPr>
        <w:t>r ≥ |0.5|</w:t>
      </w:r>
      <w:r w:rsidR="00285F94" w:rsidRPr="00A34CD9">
        <w:rPr>
          <w:rFonts w:cstheme="minorHAnsi"/>
          <w:lang w:val="en-GB"/>
        </w:rPr>
        <w:t xml:space="preserve"> and</w:t>
      </w:r>
      <w:r w:rsidR="00EC2433" w:rsidRPr="00A34CD9">
        <w:rPr>
          <w:rFonts w:cstheme="minorHAnsi"/>
          <w:lang w:val="en-GB"/>
        </w:rPr>
        <w:t xml:space="preserve"> higher </w:t>
      </w:r>
      <w:proofErr w:type="spellStart"/>
      <w:r w:rsidR="00EC2433" w:rsidRPr="00A34CD9">
        <w:rPr>
          <w:rFonts w:cstheme="minorHAnsi"/>
          <w:lang w:val="en-GB"/>
        </w:rPr>
        <w:t>AIC</w:t>
      </w:r>
      <w:r w:rsidR="008124F9" w:rsidRPr="00A34CD9">
        <w:rPr>
          <w:rFonts w:cstheme="minorHAnsi"/>
          <w:lang w:val="en-GB"/>
        </w:rPr>
        <w:t>c</w:t>
      </w:r>
      <w:proofErr w:type="spellEnd"/>
      <w:r w:rsidR="00EC2433" w:rsidRPr="00A34CD9">
        <w:rPr>
          <w:rFonts w:cstheme="minorHAnsi"/>
          <w:lang w:val="en-GB"/>
        </w:rPr>
        <w:t xml:space="preserve"> in univariate models</w:t>
      </w:r>
      <w:r w:rsidR="00014F36" w:rsidRPr="00A34CD9">
        <w:rPr>
          <w:rFonts w:cstheme="minorHAnsi"/>
          <w:lang w:val="en-GB"/>
        </w:rPr>
        <w:t xml:space="preserve">; </w:t>
      </w:r>
      <w:r w:rsidR="008D0E63" w:rsidRPr="00A34CD9">
        <w:rPr>
          <w:rFonts w:cstheme="minorHAnsi"/>
          <w:color w:val="A6A6A6" w:themeColor="background1" w:themeShade="A6"/>
          <w:lang w:val="en-GB"/>
        </w:rPr>
        <w:t>Supplementary Figure</w:t>
      </w:r>
      <w:r w:rsidR="00014F36" w:rsidRPr="00A34CD9">
        <w:rPr>
          <w:rFonts w:cstheme="minorHAnsi"/>
          <w:color w:val="A6A6A6" w:themeColor="background1" w:themeShade="A6"/>
          <w:lang w:val="en-GB"/>
        </w:rPr>
        <w:t xml:space="preserve"> </w:t>
      </w:r>
      <w:r w:rsidR="00AF4449" w:rsidRPr="00A34CD9">
        <w:rPr>
          <w:rFonts w:cstheme="minorHAnsi"/>
          <w:color w:val="A6A6A6" w:themeColor="background1" w:themeShade="A6"/>
          <w:lang w:val="en-GB"/>
        </w:rPr>
        <w:t>B</w:t>
      </w:r>
      <w:r w:rsidR="00AD356D" w:rsidRPr="00A34CD9">
        <w:rPr>
          <w:rFonts w:cstheme="minorHAnsi"/>
          <w:color w:val="A6A6A6" w:themeColor="background1" w:themeShade="A6"/>
          <w:lang w:val="en-GB"/>
        </w:rPr>
        <w:t>.</w:t>
      </w:r>
      <w:r w:rsidR="000F600C" w:rsidRPr="00A34CD9">
        <w:rPr>
          <w:rFonts w:cstheme="minorHAnsi"/>
          <w:color w:val="A6A6A6" w:themeColor="background1" w:themeShade="A6"/>
          <w:lang w:val="en-GB"/>
        </w:rPr>
        <w:t>2</w:t>
      </w:r>
      <w:r w:rsidR="00450C79" w:rsidRPr="00A34CD9">
        <w:rPr>
          <w:rFonts w:cstheme="minorHAnsi"/>
          <w:lang w:val="en-GB"/>
        </w:rPr>
        <w:t>) and they were removed.</w:t>
      </w:r>
      <w:r w:rsidR="00BF5349" w:rsidRPr="00A34CD9">
        <w:rPr>
          <w:rFonts w:cstheme="minorHAnsi"/>
          <w:lang w:val="en-GB"/>
        </w:rPr>
        <w:t xml:space="preserve"> </w:t>
      </w:r>
      <w:r w:rsidR="006063E5" w:rsidRPr="00A34CD9">
        <w:rPr>
          <w:rFonts w:cstheme="minorHAnsi"/>
          <w:lang w:val="en-GB"/>
        </w:rPr>
        <w:t xml:space="preserve">The number of models combined to achieve the 95% confidence set was </w:t>
      </w:r>
      <w:r w:rsidR="00916A49" w:rsidRPr="00A34CD9">
        <w:rPr>
          <w:rFonts w:cstheme="minorHAnsi"/>
          <w:lang w:val="en-GB"/>
        </w:rPr>
        <w:t>3</w:t>
      </w:r>
      <w:r w:rsidR="006063E5" w:rsidRPr="00A34CD9">
        <w:rPr>
          <w:rFonts w:cstheme="minorHAnsi"/>
          <w:lang w:val="en-GB"/>
        </w:rPr>
        <w:t xml:space="preserve"> out of a total of </w:t>
      </w:r>
      <w:r w:rsidR="008C3E0C" w:rsidRPr="00A34CD9">
        <w:rPr>
          <w:rFonts w:cstheme="minorHAnsi"/>
          <w:lang w:val="en-GB"/>
        </w:rPr>
        <w:t>385</w:t>
      </w:r>
      <w:r w:rsidR="006063E5" w:rsidRPr="00A34CD9">
        <w:rPr>
          <w:rFonts w:cstheme="minorHAnsi"/>
          <w:lang w:val="en-GB"/>
        </w:rPr>
        <w:t xml:space="preserve"> f</w:t>
      </w:r>
      <w:r w:rsidR="000D3A73" w:rsidRPr="00A34CD9">
        <w:rPr>
          <w:rFonts w:cstheme="minorHAnsi"/>
          <w:lang w:val="en-GB"/>
        </w:rPr>
        <w:t>or</w:t>
      </w:r>
      <w:r w:rsidR="006063E5" w:rsidRPr="00A34CD9">
        <w:rPr>
          <w:rFonts w:cstheme="minorHAnsi"/>
          <w:lang w:val="en-GB"/>
        </w:rPr>
        <w:t xml:space="preserve"> which </w:t>
      </w:r>
      <w:r w:rsidR="000D3A73" w:rsidRPr="00A34CD9">
        <w:rPr>
          <w:rFonts w:cstheme="minorHAnsi"/>
          <w:lang w:val="en-GB"/>
        </w:rPr>
        <w:t xml:space="preserve">the </w:t>
      </w:r>
      <w:r w:rsidR="006063E5" w:rsidRPr="00A34CD9">
        <w:rPr>
          <w:rFonts w:cstheme="minorHAnsi"/>
          <w:lang w:val="en-GB"/>
        </w:rPr>
        <w:t>explained deviances</w:t>
      </w:r>
      <w:r w:rsidR="005E26DA" w:rsidRPr="00A34CD9">
        <w:rPr>
          <w:rFonts w:cstheme="minorHAnsi"/>
          <w:lang w:val="en-GB"/>
        </w:rPr>
        <w:t xml:space="preserve"> ranged </w:t>
      </w:r>
      <w:r w:rsidR="00DC5CB2" w:rsidRPr="00A34CD9">
        <w:rPr>
          <w:rFonts w:cstheme="minorHAnsi"/>
          <w:lang w:val="en-GB"/>
        </w:rPr>
        <w:t xml:space="preserve">between </w:t>
      </w:r>
      <w:r w:rsidR="00644904" w:rsidRPr="00A34CD9">
        <w:rPr>
          <w:rFonts w:cstheme="minorHAnsi"/>
          <w:lang w:val="en-GB"/>
        </w:rPr>
        <w:t>14.7</w:t>
      </w:r>
      <w:r w:rsidR="00DC5CB2" w:rsidRPr="00A34CD9">
        <w:rPr>
          <w:rFonts w:cstheme="minorHAnsi"/>
          <w:lang w:val="en-GB"/>
        </w:rPr>
        <w:t xml:space="preserve">% and </w:t>
      </w:r>
      <w:r w:rsidR="00644904" w:rsidRPr="00A34CD9">
        <w:rPr>
          <w:rFonts w:cstheme="minorHAnsi"/>
          <w:lang w:val="en-GB"/>
        </w:rPr>
        <w:t>15.2</w:t>
      </w:r>
      <w:r w:rsidR="00DC5CB2" w:rsidRPr="00A34CD9">
        <w:rPr>
          <w:rFonts w:cstheme="minorHAnsi"/>
          <w:lang w:val="en-GB"/>
        </w:rPr>
        <w:t>%.</w:t>
      </w:r>
      <w:r w:rsidR="00A646F6" w:rsidRPr="00A34CD9">
        <w:rPr>
          <w:rFonts w:cstheme="minorHAnsi"/>
          <w:lang w:val="en-GB"/>
        </w:rPr>
        <w:t xml:space="preserve"> </w:t>
      </w:r>
      <w:r w:rsidR="00006227" w:rsidRPr="00A34CD9">
        <w:rPr>
          <w:rFonts w:cstheme="minorHAnsi"/>
          <w:lang w:val="en-GB"/>
        </w:rPr>
        <w:t xml:space="preserve">The main variables driving </w:t>
      </w:r>
      <w:r w:rsidR="003702A3" w:rsidRPr="00A34CD9">
        <w:rPr>
          <w:rFonts w:cstheme="minorHAnsi"/>
          <w:lang w:val="en-GB"/>
        </w:rPr>
        <w:t xml:space="preserve">the spatial abundance patterns of the species were </w:t>
      </w:r>
      <w:proofErr w:type="spellStart"/>
      <w:r w:rsidR="00AD5C58" w:rsidRPr="00A34CD9">
        <w:rPr>
          <w:rFonts w:cstheme="minorHAnsi"/>
          <w:lang w:val="en-GB"/>
        </w:rPr>
        <w:t>DistCO</w:t>
      </w:r>
      <w:proofErr w:type="spellEnd"/>
      <w:r w:rsidR="00AD5C58" w:rsidRPr="00A34CD9">
        <w:rPr>
          <w:rFonts w:cstheme="minorHAnsi"/>
          <w:lang w:val="en-GB"/>
        </w:rPr>
        <w:t xml:space="preserve">, SAL, TEM and </w:t>
      </w:r>
      <w:proofErr w:type="spellStart"/>
      <w:r w:rsidR="00A629E4" w:rsidRPr="00A34CD9">
        <w:rPr>
          <w:rFonts w:cstheme="minorHAnsi"/>
          <w:lang w:val="en-GB"/>
        </w:rPr>
        <w:t>TEMg</w:t>
      </w:r>
      <w:proofErr w:type="spellEnd"/>
      <w:r w:rsidR="003702A3" w:rsidRPr="00A34CD9">
        <w:rPr>
          <w:rFonts w:cstheme="minorHAnsi"/>
          <w:lang w:val="en-GB"/>
        </w:rPr>
        <w:t xml:space="preserve"> </w:t>
      </w:r>
      <w:r w:rsidR="00AD5C58" w:rsidRPr="00A34CD9">
        <w:rPr>
          <w:rFonts w:cstheme="minorHAnsi"/>
          <w:lang w:val="en-GB"/>
        </w:rPr>
        <w:t>(</w:t>
      </w:r>
      <w:r w:rsidR="008D0E63" w:rsidRPr="00A34CD9">
        <w:rPr>
          <w:rFonts w:cstheme="minorHAnsi"/>
          <w:color w:val="BFBFBF" w:themeColor="background1" w:themeShade="BF"/>
          <w:lang w:val="en-GB"/>
        </w:rPr>
        <w:t>Figure</w:t>
      </w:r>
      <w:r w:rsidR="000B583C" w:rsidRPr="00A34CD9">
        <w:rPr>
          <w:rFonts w:cstheme="minorHAnsi"/>
          <w:color w:val="BFBFBF" w:themeColor="background1" w:themeShade="BF"/>
          <w:lang w:val="en-GB"/>
        </w:rPr>
        <w:t xml:space="preserve"> </w:t>
      </w:r>
      <w:r w:rsidR="00CB75C3" w:rsidRPr="00A34CD9">
        <w:rPr>
          <w:rFonts w:cstheme="minorHAnsi"/>
          <w:color w:val="BFBFBF" w:themeColor="background1" w:themeShade="BF"/>
          <w:lang w:val="en-GB"/>
        </w:rPr>
        <w:t>2</w:t>
      </w:r>
      <w:r w:rsidR="005A4F1C" w:rsidRPr="00A34CD9">
        <w:rPr>
          <w:rFonts w:cstheme="minorHAnsi"/>
          <w:lang w:val="en-GB"/>
        </w:rPr>
        <w:t>)</w:t>
      </w:r>
      <w:r w:rsidR="002051C3" w:rsidRPr="00A34CD9">
        <w:rPr>
          <w:rFonts w:cstheme="minorHAnsi"/>
          <w:lang w:val="en-GB"/>
        </w:rPr>
        <w:t xml:space="preserve">, whilst </w:t>
      </w:r>
      <w:proofErr w:type="spellStart"/>
      <w:r w:rsidR="004742E7" w:rsidRPr="00A34CD9">
        <w:rPr>
          <w:rFonts w:cstheme="minorHAnsi"/>
          <w:lang w:val="en-GB"/>
        </w:rPr>
        <w:t>BATg</w:t>
      </w:r>
      <w:proofErr w:type="spellEnd"/>
      <w:r w:rsidR="004742E7" w:rsidRPr="00A34CD9">
        <w:rPr>
          <w:rFonts w:cstheme="minorHAnsi"/>
          <w:lang w:val="en-GB"/>
        </w:rPr>
        <w:t xml:space="preserve"> and PIL</w:t>
      </w:r>
      <w:r w:rsidR="00161C73" w:rsidRPr="00A34CD9">
        <w:rPr>
          <w:rFonts w:cstheme="minorHAnsi"/>
          <w:lang w:val="en-GB"/>
        </w:rPr>
        <w:t xml:space="preserve"> were the least important variables within the 95% confidence set</w:t>
      </w:r>
      <w:r w:rsidR="00891E33" w:rsidRPr="00A34CD9">
        <w:rPr>
          <w:rFonts w:cstheme="minorHAnsi"/>
          <w:lang w:val="en-GB"/>
        </w:rPr>
        <w:t xml:space="preserve">. ANEJ, ANEA, </w:t>
      </w:r>
      <w:r w:rsidR="00A8357F" w:rsidRPr="00A34CD9">
        <w:rPr>
          <w:rFonts w:cstheme="minorHAnsi"/>
          <w:lang w:val="en-GB"/>
        </w:rPr>
        <w:t>DTG, MTG</w:t>
      </w:r>
      <w:r w:rsidR="0098452C" w:rsidRPr="00A34CD9">
        <w:rPr>
          <w:rFonts w:cstheme="minorHAnsi"/>
          <w:lang w:val="en-GB"/>
        </w:rPr>
        <w:t xml:space="preserve"> and</w:t>
      </w:r>
      <w:r w:rsidR="00B34E52" w:rsidRPr="00A34CD9">
        <w:rPr>
          <w:rFonts w:cstheme="minorHAnsi"/>
          <w:lang w:val="en-GB"/>
        </w:rPr>
        <w:t xml:space="preserve"> </w:t>
      </w:r>
      <w:proofErr w:type="spellStart"/>
      <w:r w:rsidR="00B34E52" w:rsidRPr="00A34CD9">
        <w:rPr>
          <w:rFonts w:cstheme="minorHAnsi"/>
          <w:lang w:val="en-GB"/>
        </w:rPr>
        <w:t>GVel</w:t>
      </w:r>
      <w:proofErr w:type="spellEnd"/>
      <w:r w:rsidR="00891E33" w:rsidRPr="00A34CD9">
        <w:rPr>
          <w:rFonts w:cstheme="minorHAnsi"/>
          <w:lang w:val="en-GB"/>
        </w:rPr>
        <w:t xml:space="preserve"> </w:t>
      </w:r>
      <w:r w:rsidR="00FE1128" w:rsidRPr="00A34CD9">
        <w:rPr>
          <w:rFonts w:cstheme="minorHAnsi"/>
          <w:lang w:val="en-GB"/>
        </w:rPr>
        <w:t>were not included in any of the models within the 95% confidence set</w:t>
      </w:r>
      <w:r w:rsidR="003702A3" w:rsidRPr="00A34CD9">
        <w:rPr>
          <w:rFonts w:cstheme="minorHAnsi"/>
          <w:lang w:val="en-GB"/>
        </w:rPr>
        <w:t xml:space="preserve">. </w:t>
      </w:r>
      <w:r w:rsidR="00FB4835" w:rsidRPr="00A34CD9">
        <w:rPr>
          <w:rFonts w:cstheme="minorHAnsi"/>
          <w:lang w:val="en-GB"/>
        </w:rPr>
        <w:t xml:space="preserve">Densities of great shearwater increased </w:t>
      </w:r>
      <w:r w:rsidR="00087935" w:rsidRPr="00A34CD9">
        <w:rPr>
          <w:rFonts w:cstheme="minorHAnsi"/>
          <w:lang w:val="en-GB"/>
        </w:rPr>
        <w:t xml:space="preserve">as </w:t>
      </w:r>
      <w:proofErr w:type="spellStart"/>
      <w:r w:rsidR="00727E2E" w:rsidRPr="00A34CD9">
        <w:rPr>
          <w:rFonts w:cstheme="minorHAnsi"/>
          <w:lang w:val="en-GB"/>
        </w:rPr>
        <w:t>DistCO</w:t>
      </w:r>
      <w:proofErr w:type="spellEnd"/>
      <w:r w:rsidR="00087935" w:rsidRPr="00A34CD9">
        <w:rPr>
          <w:rFonts w:cstheme="minorHAnsi"/>
          <w:lang w:val="en-GB"/>
        </w:rPr>
        <w:t xml:space="preserve"> increase, with maximum values at approximately </w:t>
      </w:r>
      <w:r w:rsidR="002D33AD" w:rsidRPr="00A34CD9">
        <w:rPr>
          <w:rFonts w:cstheme="minorHAnsi"/>
          <w:lang w:val="en-GB"/>
        </w:rPr>
        <w:t>125 km from the coast</w:t>
      </w:r>
      <w:r w:rsidR="00B23093" w:rsidRPr="00A34CD9">
        <w:rPr>
          <w:rFonts w:cstheme="minorHAnsi"/>
          <w:lang w:val="en-GB"/>
        </w:rPr>
        <w:t>,</w:t>
      </w:r>
      <w:r w:rsidR="0089492E" w:rsidRPr="00A34CD9">
        <w:rPr>
          <w:rFonts w:cstheme="minorHAnsi"/>
          <w:lang w:val="en-GB"/>
        </w:rPr>
        <w:t xml:space="preserve"> </w:t>
      </w:r>
      <w:r w:rsidR="006A2A33" w:rsidRPr="00A34CD9">
        <w:rPr>
          <w:rFonts w:cstheme="minorHAnsi"/>
          <w:lang w:val="en-GB"/>
        </w:rPr>
        <w:t xml:space="preserve">whilst </w:t>
      </w:r>
      <w:r w:rsidR="008901A4" w:rsidRPr="00A34CD9">
        <w:rPr>
          <w:rFonts w:cstheme="minorHAnsi"/>
          <w:lang w:val="en-GB"/>
        </w:rPr>
        <w:t xml:space="preserve">warmer </w:t>
      </w:r>
      <w:r w:rsidR="00CE693C" w:rsidRPr="00A34CD9">
        <w:rPr>
          <w:rFonts w:cstheme="minorHAnsi"/>
          <w:lang w:val="en-GB"/>
        </w:rPr>
        <w:t>TEM</w:t>
      </w:r>
      <w:r w:rsidR="00D64C7E" w:rsidRPr="00A34CD9">
        <w:rPr>
          <w:rFonts w:cstheme="minorHAnsi"/>
          <w:lang w:val="en-GB"/>
        </w:rPr>
        <w:t xml:space="preserve"> influenced </w:t>
      </w:r>
      <w:r w:rsidR="00E11BD5" w:rsidRPr="00A34CD9">
        <w:rPr>
          <w:rFonts w:cstheme="minorHAnsi"/>
          <w:lang w:val="en-GB"/>
        </w:rPr>
        <w:t>the</w:t>
      </w:r>
      <w:r w:rsidR="00D64C7E" w:rsidRPr="00A34CD9">
        <w:rPr>
          <w:rFonts w:cstheme="minorHAnsi"/>
          <w:lang w:val="en-GB"/>
        </w:rPr>
        <w:t xml:space="preserve"> abundance </w:t>
      </w:r>
      <w:r w:rsidR="00E11BD5" w:rsidRPr="00A34CD9">
        <w:rPr>
          <w:rFonts w:cstheme="minorHAnsi"/>
          <w:lang w:val="en-GB"/>
        </w:rPr>
        <w:t>negatively</w:t>
      </w:r>
      <w:r w:rsidR="00133EEB" w:rsidRPr="00A34CD9">
        <w:rPr>
          <w:rFonts w:cstheme="minorHAnsi"/>
          <w:lang w:val="en-GB"/>
        </w:rPr>
        <w:t xml:space="preserve"> driving the higher abundances over the northern French continental shelf</w:t>
      </w:r>
      <w:r w:rsidR="00536644" w:rsidRPr="00A34CD9">
        <w:rPr>
          <w:rFonts w:cstheme="minorHAnsi"/>
          <w:lang w:val="en-GB"/>
        </w:rPr>
        <w:t xml:space="preserve">. </w:t>
      </w:r>
      <w:r w:rsidR="00D47DEA" w:rsidRPr="00A34CD9">
        <w:rPr>
          <w:rFonts w:cstheme="minorHAnsi"/>
          <w:lang w:val="en-GB"/>
        </w:rPr>
        <w:t xml:space="preserve">Seabird densities </w:t>
      </w:r>
      <w:r w:rsidR="00B3237E" w:rsidRPr="00A34CD9">
        <w:rPr>
          <w:rFonts w:cstheme="minorHAnsi"/>
          <w:lang w:val="en-GB"/>
        </w:rPr>
        <w:t xml:space="preserve">also </w:t>
      </w:r>
      <w:r w:rsidR="00536644" w:rsidRPr="00A34CD9">
        <w:rPr>
          <w:rFonts w:cstheme="minorHAnsi"/>
          <w:lang w:val="en-GB"/>
        </w:rPr>
        <w:t>showed</w:t>
      </w:r>
      <w:r w:rsidR="004129F2" w:rsidRPr="00A34CD9">
        <w:rPr>
          <w:rFonts w:cstheme="minorHAnsi"/>
          <w:lang w:val="en-GB"/>
        </w:rPr>
        <w:t xml:space="preserve"> a quadratic relationship with SAL</w:t>
      </w:r>
      <w:r w:rsidR="00536644" w:rsidRPr="00A34CD9">
        <w:rPr>
          <w:rFonts w:cstheme="minorHAnsi"/>
          <w:lang w:val="en-GB"/>
        </w:rPr>
        <w:t xml:space="preserve"> </w:t>
      </w:r>
      <w:r w:rsidR="00B3237E" w:rsidRPr="00A34CD9">
        <w:rPr>
          <w:rFonts w:cstheme="minorHAnsi"/>
          <w:lang w:val="en-GB"/>
        </w:rPr>
        <w:t>indicat</w:t>
      </w:r>
      <w:r w:rsidR="00D47DEA" w:rsidRPr="00A34CD9">
        <w:rPr>
          <w:rFonts w:cstheme="minorHAnsi"/>
          <w:lang w:val="en-GB"/>
        </w:rPr>
        <w:t>ing</w:t>
      </w:r>
      <w:r w:rsidR="00B3237E" w:rsidRPr="00A34CD9">
        <w:rPr>
          <w:rFonts w:cstheme="minorHAnsi"/>
          <w:lang w:val="en-GB"/>
        </w:rPr>
        <w:t xml:space="preserve"> a preference for </w:t>
      </w:r>
      <w:r w:rsidR="00201529" w:rsidRPr="00A34CD9">
        <w:rPr>
          <w:rFonts w:cstheme="minorHAnsi"/>
          <w:lang w:val="en-GB"/>
        </w:rPr>
        <w:t xml:space="preserve">medium to </w:t>
      </w:r>
      <w:r w:rsidR="00CB1048" w:rsidRPr="00A34CD9">
        <w:rPr>
          <w:rFonts w:cstheme="minorHAnsi"/>
          <w:lang w:val="en-GB"/>
        </w:rPr>
        <w:t>high values</w:t>
      </w:r>
      <w:r w:rsidR="00201529" w:rsidRPr="00A34CD9">
        <w:rPr>
          <w:rFonts w:cstheme="minorHAnsi"/>
          <w:lang w:val="en-GB"/>
        </w:rPr>
        <w:t xml:space="preserve"> (</w:t>
      </w:r>
      <w:r w:rsidR="00AA5597" w:rsidRPr="00A34CD9">
        <w:rPr>
          <w:rFonts w:cstheme="minorHAnsi"/>
          <w:lang w:val="en-GB"/>
        </w:rPr>
        <w:t>&gt;</w:t>
      </w:r>
      <w:r w:rsidR="00201529" w:rsidRPr="00A34CD9">
        <w:rPr>
          <w:rFonts w:cstheme="minorHAnsi"/>
          <w:lang w:val="en-GB"/>
        </w:rPr>
        <w:t xml:space="preserve"> 35 </w:t>
      </w:r>
      <w:proofErr w:type="spellStart"/>
      <w:r w:rsidR="00201529" w:rsidRPr="00A34CD9">
        <w:rPr>
          <w:rFonts w:cstheme="minorHAnsi"/>
          <w:lang w:val="en-GB"/>
        </w:rPr>
        <w:t>psu</w:t>
      </w:r>
      <w:proofErr w:type="spellEnd"/>
      <w:r w:rsidR="00201529" w:rsidRPr="00A34CD9">
        <w:rPr>
          <w:rFonts w:cstheme="minorHAnsi"/>
          <w:lang w:val="en-GB"/>
        </w:rPr>
        <w:t>)</w:t>
      </w:r>
      <w:r w:rsidR="00701ED8" w:rsidRPr="00A34CD9">
        <w:rPr>
          <w:rFonts w:cstheme="minorHAnsi"/>
          <w:lang w:val="en-GB"/>
        </w:rPr>
        <w:t xml:space="preserve"> </w:t>
      </w:r>
      <w:r w:rsidR="001048ED" w:rsidRPr="00A34CD9">
        <w:rPr>
          <w:rFonts w:cstheme="minorHAnsi"/>
          <w:lang w:val="en-GB"/>
        </w:rPr>
        <w:t>and</w:t>
      </w:r>
      <w:r w:rsidR="006A2A33" w:rsidRPr="00A34CD9">
        <w:rPr>
          <w:rFonts w:cstheme="minorHAnsi"/>
          <w:lang w:val="en-GB"/>
        </w:rPr>
        <w:t xml:space="preserve"> a preference for</w:t>
      </w:r>
      <w:r w:rsidR="001048ED" w:rsidRPr="00A34CD9">
        <w:rPr>
          <w:rFonts w:cstheme="minorHAnsi"/>
          <w:lang w:val="en-GB"/>
        </w:rPr>
        <w:t xml:space="preserve"> </w:t>
      </w:r>
      <w:r w:rsidR="0082559D" w:rsidRPr="00A34CD9">
        <w:rPr>
          <w:rFonts w:cstheme="minorHAnsi"/>
          <w:lang w:val="en-GB"/>
        </w:rPr>
        <w:t xml:space="preserve">lower values of </w:t>
      </w:r>
      <w:proofErr w:type="spellStart"/>
      <w:r w:rsidR="00A629E4" w:rsidRPr="00A34CD9">
        <w:rPr>
          <w:rFonts w:cstheme="minorHAnsi"/>
          <w:lang w:val="en-GB"/>
        </w:rPr>
        <w:t>TEMg</w:t>
      </w:r>
      <w:proofErr w:type="spellEnd"/>
      <w:r w:rsidR="008B2ECF" w:rsidRPr="00A34CD9">
        <w:rPr>
          <w:rFonts w:cstheme="minorHAnsi"/>
          <w:lang w:val="en-GB"/>
        </w:rPr>
        <w:t>,</w:t>
      </w:r>
      <w:r w:rsidR="00473414" w:rsidRPr="00A34CD9">
        <w:rPr>
          <w:rFonts w:cstheme="minorHAnsi"/>
          <w:lang w:val="en-GB"/>
        </w:rPr>
        <w:t xml:space="preserve"> inducing higher densities far from the coast</w:t>
      </w:r>
      <w:r w:rsidR="008918B5" w:rsidRPr="00A34CD9">
        <w:rPr>
          <w:rFonts w:cstheme="minorHAnsi"/>
          <w:lang w:val="en-GB"/>
        </w:rPr>
        <w:t>.</w:t>
      </w:r>
      <w:r w:rsidR="00E57C7C" w:rsidRPr="00A34CD9">
        <w:rPr>
          <w:rFonts w:cstheme="minorHAnsi"/>
          <w:lang w:val="en-GB"/>
        </w:rPr>
        <w:t xml:space="preserve"> </w:t>
      </w:r>
      <w:r w:rsidR="002F6593" w:rsidRPr="00A34CD9">
        <w:rPr>
          <w:rFonts w:cstheme="minorHAnsi"/>
          <w:lang w:val="en-GB"/>
        </w:rPr>
        <w:t>Although h</w:t>
      </w:r>
      <w:r w:rsidR="00A86A1C" w:rsidRPr="00A34CD9">
        <w:rPr>
          <w:rFonts w:cstheme="minorHAnsi"/>
          <w:lang w:val="en-GB"/>
        </w:rPr>
        <w:t>igh</w:t>
      </w:r>
      <w:r w:rsidR="00761422" w:rsidRPr="00A34CD9">
        <w:rPr>
          <w:rFonts w:cstheme="minorHAnsi"/>
          <w:lang w:val="en-GB"/>
        </w:rPr>
        <w:t>est</w:t>
      </w:r>
      <w:r w:rsidR="00A86A1C" w:rsidRPr="00A34CD9">
        <w:rPr>
          <w:rFonts w:cstheme="minorHAnsi"/>
          <w:lang w:val="en-GB"/>
        </w:rPr>
        <w:t xml:space="preserve"> density areas showed a high </w:t>
      </w:r>
      <w:r w:rsidR="00A86A1C" w:rsidRPr="00A34CD9">
        <w:rPr>
          <w:rFonts w:cstheme="minorHAnsi"/>
          <w:lang w:val="en-GB"/>
        </w:rPr>
        <w:lastRenderedPageBreak/>
        <w:t>inter-annual variability</w:t>
      </w:r>
      <w:r w:rsidR="00167DCC" w:rsidRPr="00A34CD9">
        <w:rPr>
          <w:rFonts w:cstheme="minorHAnsi"/>
          <w:lang w:val="en-GB"/>
        </w:rPr>
        <w:t xml:space="preserve"> (</w:t>
      </w:r>
      <w:r w:rsidR="008D0E63" w:rsidRPr="00A34CD9">
        <w:rPr>
          <w:rFonts w:cstheme="minorHAnsi"/>
          <w:color w:val="A6A6A6" w:themeColor="background1" w:themeShade="A6"/>
          <w:sz w:val="24"/>
          <w:szCs w:val="24"/>
          <w:lang w:val="en-GB"/>
        </w:rPr>
        <w:t>Figure</w:t>
      </w:r>
      <w:r w:rsidR="00167DCC" w:rsidRPr="00A34CD9">
        <w:rPr>
          <w:rFonts w:cstheme="minorHAnsi"/>
          <w:color w:val="A6A6A6" w:themeColor="background1" w:themeShade="A6"/>
          <w:sz w:val="24"/>
          <w:szCs w:val="24"/>
          <w:lang w:val="en-GB"/>
        </w:rPr>
        <w:t xml:space="preserve"> 3</w:t>
      </w:r>
      <w:r w:rsidR="00167DCC" w:rsidRPr="00A34CD9">
        <w:rPr>
          <w:rFonts w:cstheme="minorHAnsi"/>
          <w:lang w:val="en-GB"/>
        </w:rPr>
        <w:t>)</w:t>
      </w:r>
      <w:r w:rsidR="008700CA" w:rsidRPr="00A34CD9">
        <w:rPr>
          <w:rFonts w:cstheme="minorHAnsi"/>
          <w:lang w:val="en-GB"/>
        </w:rPr>
        <w:t xml:space="preserve">, </w:t>
      </w:r>
      <w:r w:rsidR="002F6593" w:rsidRPr="00A34CD9">
        <w:rPr>
          <w:rFonts w:cstheme="minorHAnsi"/>
          <w:lang w:val="en-GB"/>
        </w:rPr>
        <w:t xml:space="preserve">the area </w:t>
      </w:r>
      <w:r w:rsidR="00E72209" w:rsidRPr="00A34CD9">
        <w:rPr>
          <w:rFonts w:cstheme="minorHAnsi"/>
          <w:lang w:val="en-GB"/>
        </w:rPr>
        <w:t xml:space="preserve">over the </w:t>
      </w:r>
      <w:r w:rsidR="00F43DAA" w:rsidRPr="00A34CD9">
        <w:rPr>
          <w:rFonts w:cstheme="minorHAnsi"/>
          <w:lang w:val="en-GB"/>
        </w:rPr>
        <w:t>Armorican slope</w:t>
      </w:r>
      <w:r w:rsidR="002D41E7" w:rsidRPr="00A34CD9">
        <w:rPr>
          <w:rFonts w:cstheme="minorHAnsi"/>
          <w:lang w:val="en-GB"/>
        </w:rPr>
        <w:t xml:space="preserve"> </w:t>
      </w:r>
      <w:r w:rsidR="00833ADC" w:rsidRPr="00A34CD9">
        <w:rPr>
          <w:rFonts w:cstheme="minorHAnsi"/>
          <w:lang w:val="en-GB"/>
        </w:rPr>
        <w:t xml:space="preserve">supports </w:t>
      </w:r>
      <w:r w:rsidR="002711F7" w:rsidRPr="00A34CD9">
        <w:rPr>
          <w:rFonts w:cstheme="minorHAnsi"/>
          <w:lang w:val="en-GB"/>
        </w:rPr>
        <w:t xml:space="preserve">the </w:t>
      </w:r>
      <w:r w:rsidR="00761422" w:rsidRPr="00A34CD9">
        <w:rPr>
          <w:rFonts w:cstheme="minorHAnsi"/>
          <w:lang w:val="en-GB"/>
        </w:rPr>
        <w:t>high</w:t>
      </w:r>
      <w:r w:rsidR="00060BE4" w:rsidRPr="00A34CD9">
        <w:rPr>
          <w:rFonts w:cstheme="minorHAnsi"/>
          <w:lang w:val="en-GB"/>
        </w:rPr>
        <w:t>est</w:t>
      </w:r>
      <w:r w:rsidR="00833ADC" w:rsidRPr="00A34CD9">
        <w:rPr>
          <w:rFonts w:cstheme="minorHAnsi"/>
          <w:lang w:val="en-GB"/>
        </w:rPr>
        <w:t xml:space="preserve"> densit</w:t>
      </w:r>
      <w:r w:rsidR="002711F7" w:rsidRPr="00A34CD9">
        <w:rPr>
          <w:rFonts w:cstheme="minorHAnsi"/>
          <w:lang w:val="en-GB"/>
        </w:rPr>
        <w:t>ies</w:t>
      </w:r>
      <w:r w:rsidR="00833ADC" w:rsidRPr="00A34CD9">
        <w:rPr>
          <w:rFonts w:cstheme="minorHAnsi"/>
          <w:lang w:val="en-GB"/>
        </w:rPr>
        <w:t xml:space="preserve"> most of the years </w:t>
      </w:r>
      <w:r w:rsidR="002D41E7" w:rsidRPr="00A34CD9">
        <w:rPr>
          <w:rFonts w:cstheme="minorHAnsi"/>
          <w:lang w:val="en-GB"/>
        </w:rPr>
        <w:t>(</w:t>
      </w:r>
      <w:r w:rsidR="00833ADC" w:rsidRPr="00A34CD9">
        <w:rPr>
          <w:rFonts w:cstheme="minorHAnsi"/>
          <w:lang w:val="en-GB"/>
        </w:rPr>
        <w:t>but 2015</w:t>
      </w:r>
      <w:r w:rsidR="000272CE" w:rsidRPr="00A34CD9">
        <w:rPr>
          <w:rFonts w:cstheme="minorHAnsi"/>
          <w:lang w:val="en-GB"/>
        </w:rPr>
        <w:t>)</w:t>
      </w:r>
      <w:r w:rsidR="00222805" w:rsidRPr="00A34CD9">
        <w:rPr>
          <w:rFonts w:cstheme="minorHAnsi"/>
          <w:lang w:val="en-GB"/>
        </w:rPr>
        <w:t>.</w:t>
      </w:r>
      <w:r w:rsidR="00833ADC" w:rsidRPr="00A34CD9">
        <w:rPr>
          <w:rFonts w:cstheme="minorHAnsi"/>
          <w:lang w:val="en-GB"/>
        </w:rPr>
        <w:t xml:space="preserve"> </w:t>
      </w:r>
      <w:r w:rsidR="00761422" w:rsidRPr="00A34CD9">
        <w:rPr>
          <w:rFonts w:cstheme="minorHAnsi"/>
          <w:lang w:val="en-GB"/>
        </w:rPr>
        <w:t>Furthermore, t</w:t>
      </w:r>
      <w:r w:rsidR="00EA6C1E" w:rsidRPr="00A34CD9">
        <w:rPr>
          <w:rFonts w:cstheme="minorHAnsi"/>
          <w:lang w:val="en-GB"/>
        </w:rPr>
        <w:t xml:space="preserve">he </w:t>
      </w:r>
      <w:r w:rsidR="00E601A4" w:rsidRPr="00A34CD9">
        <w:rPr>
          <w:rFonts w:cstheme="minorHAnsi"/>
          <w:lang w:val="en-GB"/>
        </w:rPr>
        <w:t xml:space="preserve">southern sector of the </w:t>
      </w:r>
      <w:proofErr w:type="spellStart"/>
      <w:r w:rsidR="00E601A4" w:rsidRPr="00A34CD9">
        <w:rPr>
          <w:rFonts w:cstheme="minorHAnsi"/>
          <w:lang w:val="en-GB"/>
        </w:rPr>
        <w:t>BoB</w:t>
      </w:r>
      <w:proofErr w:type="spellEnd"/>
      <w:r w:rsidR="00E601A4" w:rsidRPr="00A34CD9">
        <w:rPr>
          <w:rFonts w:cstheme="minorHAnsi"/>
          <w:lang w:val="en-GB"/>
        </w:rPr>
        <w:t xml:space="preserve"> also showed high </w:t>
      </w:r>
      <w:r w:rsidR="00761422" w:rsidRPr="00A34CD9">
        <w:rPr>
          <w:rFonts w:cstheme="minorHAnsi"/>
          <w:lang w:val="en-GB"/>
        </w:rPr>
        <w:t>densities</w:t>
      </w:r>
      <w:r w:rsidR="001364B9" w:rsidRPr="00A34CD9">
        <w:rPr>
          <w:rFonts w:cstheme="minorHAnsi"/>
          <w:lang w:val="en-GB"/>
        </w:rPr>
        <w:t xml:space="preserve">, mainly located over the </w:t>
      </w:r>
      <w:proofErr w:type="spellStart"/>
      <w:r w:rsidR="001364B9" w:rsidRPr="00A34CD9">
        <w:rPr>
          <w:rFonts w:cstheme="minorHAnsi"/>
          <w:lang w:val="en-GB"/>
        </w:rPr>
        <w:t>Cachucho</w:t>
      </w:r>
      <w:proofErr w:type="spellEnd"/>
      <w:r w:rsidR="00EE6D9E" w:rsidRPr="00A34CD9">
        <w:rPr>
          <w:rFonts w:cstheme="minorHAnsi"/>
          <w:lang w:val="en-GB"/>
        </w:rPr>
        <w:t xml:space="preserve"> </w:t>
      </w:r>
      <w:r w:rsidR="00B92B78" w:rsidRPr="00A34CD9">
        <w:rPr>
          <w:rFonts w:cstheme="minorHAnsi"/>
          <w:lang w:val="en-GB"/>
        </w:rPr>
        <w:t xml:space="preserve">and the area between </w:t>
      </w:r>
      <w:proofErr w:type="spellStart"/>
      <w:r w:rsidR="00B92B78" w:rsidRPr="00A34CD9">
        <w:rPr>
          <w:rFonts w:cstheme="minorHAnsi"/>
          <w:lang w:val="en-GB"/>
        </w:rPr>
        <w:t>Estaca</w:t>
      </w:r>
      <w:proofErr w:type="spellEnd"/>
      <w:r w:rsidR="00B92B78" w:rsidRPr="00A34CD9">
        <w:rPr>
          <w:rFonts w:cstheme="minorHAnsi"/>
          <w:lang w:val="en-GB"/>
        </w:rPr>
        <w:t xml:space="preserve"> de Bares and </w:t>
      </w:r>
      <w:r w:rsidR="00A66E7E" w:rsidRPr="00A34CD9">
        <w:rPr>
          <w:rFonts w:cstheme="minorHAnsi"/>
          <w:lang w:val="en-GB"/>
        </w:rPr>
        <w:t xml:space="preserve">Cabo </w:t>
      </w:r>
      <w:proofErr w:type="spellStart"/>
      <w:r w:rsidR="00A66E7E" w:rsidRPr="00A34CD9">
        <w:rPr>
          <w:rFonts w:cstheme="minorHAnsi"/>
          <w:lang w:val="en-GB"/>
        </w:rPr>
        <w:t>Peñas</w:t>
      </w:r>
      <w:proofErr w:type="spellEnd"/>
      <w:r w:rsidR="00D8559D" w:rsidRPr="00A34CD9">
        <w:rPr>
          <w:rFonts w:cstheme="minorHAnsi"/>
          <w:lang w:val="en-GB"/>
        </w:rPr>
        <w:t xml:space="preserve">. </w:t>
      </w:r>
      <w:r w:rsidR="00FE052D" w:rsidRPr="00A34CD9">
        <w:rPr>
          <w:rFonts w:cstheme="minorHAnsi"/>
          <w:lang w:val="en-GB"/>
        </w:rPr>
        <w:t xml:space="preserve">Less dense areas were located over the southern French and </w:t>
      </w:r>
      <w:r w:rsidR="00625E3B" w:rsidRPr="00A34CD9">
        <w:rPr>
          <w:rFonts w:cstheme="minorHAnsi"/>
          <w:lang w:val="en-GB"/>
        </w:rPr>
        <w:t xml:space="preserve">eastern Spanish </w:t>
      </w:r>
      <w:r w:rsidR="00625E3B" w:rsidRPr="00A34CD9">
        <w:rPr>
          <w:rFonts w:cstheme="minorHAnsi"/>
          <w:sz w:val="24"/>
          <w:szCs w:val="24"/>
          <w:lang w:val="en-GB"/>
        </w:rPr>
        <w:t>continental shelves</w:t>
      </w:r>
      <w:r w:rsidR="00592DD2" w:rsidRPr="00A34CD9">
        <w:rPr>
          <w:rFonts w:cstheme="minorHAnsi"/>
          <w:sz w:val="24"/>
          <w:szCs w:val="24"/>
          <w:lang w:val="en-GB"/>
        </w:rPr>
        <w:t xml:space="preserve"> (</w:t>
      </w:r>
      <w:r w:rsidR="008D0E63" w:rsidRPr="00A34CD9">
        <w:rPr>
          <w:rFonts w:cstheme="minorHAnsi"/>
          <w:color w:val="A6A6A6" w:themeColor="background1" w:themeShade="A6"/>
          <w:sz w:val="24"/>
          <w:szCs w:val="24"/>
          <w:lang w:val="en-GB"/>
        </w:rPr>
        <w:t>Figure</w:t>
      </w:r>
      <w:r w:rsidR="00ED0729" w:rsidRPr="00A34CD9">
        <w:rPr>
          <w:rFonts w:cstheme="minorHAnsi"/>
          <w:color w:val="A6A6A6" w:themeColor="background1" w:themeShade="A6"/>
          <w:sz w:val="24"/>
          <w:szCs w:val="24"/>
          <w:lang w:val="en-GB"/>
        </w:rPr>
        <w:t xml:space="preserve"> </w:t>
      </w:r>
      <w:r w:rsidR="00F43796" w:rsidRPr="00A34CD9">
        <w:rPr>
          <w:rFonts w:cstheme="minorHAnsi"/>
          <w:color w:val="A6A6A6" w:themeColor="background1" w:themeShade="A6"/>
          <w:sz w:val="24"/>
          <w:szCs w:val="24"/>
          <w:lang w:val="en-GB"/>
        </w:rPr>
        <w:t>3</w:t>
      </w:r>
      <w:r w:rsidR="00592DD2" w:rsidRPr="00A34CD9">
        <w:rPr>
          <w:rFonts w:cstheme="minorHAnsi"/>
          <w:sz w:val="24"/>
          <w:szCs w:val="24"/>
          <w:lang w:val="en-GB"/>
        </w:rPr>
        <w:t>)</w:t>
      </w:r>
      <w:r w:rsidR="00625E3B" w:rsidRPr="00A34CD9">
        <w:rPr>
          <w:rFonts w:cstheme="minorHAnsi"/>
          <w:sz w:val="24"/>
          <w:szCs w:val="24"/>
          <w:lang w:val="en-GB"/>
        </w:rPr>
        <w:t>.</w:t>
      </w:r>
    </w:p>
    <w:p w14:paraId="62F6E09A" w14:textId="57112757" w:rsidR="00F660C4" w:rsidRPr="00A34CD9" w:rsidRDefault="00FC083E" w:rsidP="002A528E">
      <w:pPr>
        <w:pStyle w:val="Prrafodelista"/>
        <w:numPr>
          <w:ilvl w:val="1"/>
          <w:numId w:val="3"/>
        </w:numPr>
        <w:suppressLineNumbers/>
        <w:spacing w:line="480" w:lineRule="auto"/>
        <w:outlineLvl w:val="1"/>
        <w:rPr>
          <w:rFonts w:cstheme="minorHAnsi"/>
          <w:b/>
          <w:bCs/>
          <w:sz w:val="24"/>
          <w:szCs w:val="24"/>
          <w:lang w:val="en-GB"/>
        </w:rPr>
      </w:pPr>
      <w:r w:rsidRPr="00A34CD9">
        <w:rPr>
          <w:rFonts w:cstheme="minorHAnsi"/>
          <w:b/>
          <w:bCs/>
          <w:sz w:val="24"/>
          <w:szCs w:val="24"/>
          <w:lang w:val="en-GB"/>
        </w:rPr>
        <w:t>Fishing activity</w:t>
      </w:r>
    </w:p>
    <w:p w14:paraId="7FBCFE91" w14:textId="07D58DD7" w:rsidR="000F4AAF" w:rsidRPr="00A34CD9" w:rsidRDefault="006F55AC" w:rsidP="002A528E">
      <w:pPr>
        <w:suppressLineNumbers/>
        <w:spacing w:line="480" w:lineRule="auto"/>
        <w:jc w:val="both"/>
        <w:rPr>
          <w:rFonts w:cstheme="minorHAnsi"/>
          <w:lang w:val="en-GB"/>
        </w:rPr>
      </w:pPr>
      <w:r w:rsidRPr="00A34CD9">
        <w:rPr>
          <w:rFonts w:cstheme="minorHAnsi"/>
          <w:lang w:val="en-GB"/>
        </w:rPr>
        <w:t>The</w:t>
      </w:r>
      <w:r w:rsidR="004A4665" w:rsidRPr="00A34CD9">
        <w:rPr>
          <w:rFonts w:cstheme="minorHAnsi"/>
          <w:lang w:val="en-GB"/>
        </w:rPr>
        <w:t xml:space="preserve"> </w:t>
      </w:r>
      <w:r w:rsidR="00A333FE" w:rsidRPr="00A34CD9">
        <w:rPr>
          <w:rFonts w:cstheme="minorHAnsi"/>
          <w:lang w:val="en-GB"/>
        </w:rPr>
        <w:t xml:space="preserve">fishing </w:t>
      </w:r>
      <w:r w:rsidRPr="00A34CD9">
        <w:rPr>
          <w:rFonts w:cstheme="minorHAnsi"/>
          <w:lang w:val="en-GB"/>
        </w:rPr>
        <w:t>effort of the artisanal tuna fishing</w:t>
      </w:r>
      <w:r w:rsidR="00615F2E" w:rsidRPr="00A34CD9">
        <w:rPr>
          <w:rFonts w:cstheme="minorHAnsi"/>
          <w:lang w:val="en-GB"/>
        </w:rPr>
        <w:t xml:space="preserve"> fleet</w:t>
      </w:r>
      <w:r w:rsidR="00B94B2E" w:rsidRPr="00A34CD9">
        <w:rPr>
          <w:rFonts w:cstheme="minorHAnsi"/>
          <w:lang w:val="en-GB"/>
        </w:rPr>
        <w:t xml:space="preserve"> (considering both </w:t>
      </w:r>
      <w:r w:rsidR="00615F2E" w:rsidRPr="00A34CD9">
        <w:rPr>
          <w:rFonts w:cstheme="minorHAnsi"/>
          <w:lang w:val="en-GB"/>
        </w:rPr>
        <w:t>metiers</w:t>
      </w:r>
      <w:r w:rsidR="00B94B2E" w:rsidRPr="00A34CD9">
        <w:rPr>
          <w:rFonts w:cstheme="minorHAnsi"/>
          <w:lang w:val="en-GB"/>
        </w:rPr>
        <w:t xml:space="preserve">) </w:t>
      </w:r>
      <w:r w:rsidRPr="00A34CD9">
        <w:rPr>
          <w:rFonts w:cstheme="minorHAnsi"/>
          <w:lang w:val="en-GB"/>
        </w:rPr>
        <w:t>during the period 2013-</w:t>
      </w:r>
      <w:r w:rsidR="00A34CD9" w:rsidRPr="00A34CD9">
        <w:rPr>
          <w:rFonts w:cstheme="minorHAnsi"/>
          <w:lang w:val="en-GB"/>
        </w:rPr>
        <w:t>2019 concentrates in</w:t>
      </w:r>
      <w:r w:rsidR="00785EB5" w:rsidRPr="00A34CD9">
        <w:rPr>
          <w:rFonts w:cstheme="minorHAnsi"/>
          <w:lang w:val="en-GB"/>
        </w:rPr>
        <w:t xml:space="preserve"> </w:t>
      </w:r>
      <w:r w:rsidR="00F2618A" w:rsidRPr="00A34CD9">
        <w:rPr>
          <w:rFonts w:cstheme="minorHAnsi"/>
          <w:lang w:val="en-GB"/>
        </w:rPr>
        <w:t>July</w:t>
      </w:r>
      <w:r w:rsidR="00785EB5" w:rsidRPr="00A34CD9">
        <w:rPr>
          <w:rFonts w:cstheme="minorHAnsi"/>
          <w:lang w:val="en-GB"/>
        </w:rPr>
        <w:t xml:space="preserve"> to </w:t>
      </w:r>
      <w:r w:rsidR="00F2618A" w:rsidRPr="00A34CD9">
        <w:rPr>
          <w:rFonts w:cstheme="minorHAnsi"/>
          <w:lang w:val="en-GB"/>
        </w:rPr>
        <w:t>September</w:t>
      </w:r>
      <w:r w:rsidR="00ED0FB5" w:rsidRPr="00A34CD9">
        <w:rPr>
          <w:rFonts w:cstheme="minorHAnsi"/>
          <w:lang w:val="en-GB"/>
        </w:rPr>
        <w:t xml:space="preserve"> </w:t>
      </w:r>
      <w:r w:rsidR="00DD528E" w:rsidRPr="00A34CD9">
        <w:rPr>
          <w:rFonts w:cstheme="minorHAnsi"/>
          <w:lang w:val="en-GB"/>
        </w:rPr>
        <w:t>(</w:t>
      </w:r>
      <w:r w:rsidR="008D0E63" w:rsidRPr="00A34CD9">
        <w:rPr>
          <w:rFonts w:cstheme="minorHAnsi"/>
          <w:color w:val="A6A6A6" w:themeColor="background1" w:themeShade="A6"/>
          <w:lang w:val="en-GB"/>
        </w:rPr>
        <w:t>Supplementary Figure</w:t>
      </w:r>
      <w:r w:rsidR="00DD528E" w:rsidRPr="00A34CD9">
        <w:rPr>
          <w:rFonts w:cstheme="minorHAnsi"/>
          <w:color w:val="A6A6A6" w:themeColor="background1" w:themeShade="A6"/>
          <w:lang w:val="en-GB"/>
        </w:rPr>
        <w:t xml:space="preserve"> </w:t>
      </w:r>
      <w:r w:rsidR="00A333FE" w:rsidRPr="00A34CD9">
        <w:rPr>
          <w:rFonts w:cstheme="minorHAnsi"/>
          <w:color w:val="A6A6A6" w:themeColor="background1" w:themeShade="A6"/>
          <w:lang w:val="en-GB"/>
        </w:rPr>
        <w:t>C.</w:t>
      </w:r>
      <w:r w:rsidR="00CE2ED7" w:rsidRPr="00A34CD9">
        <w:rPr>
          <w:rFonts w:cstheme="minorHAnsi"/>
          <w:color w:val="A6A6A6" w:themeColor="background1" w:themeShade="A6"/>
          <w:lang w:val="en-GB"/>
        </w:rPr>
        <w:t>1</w:t>
      </w:r>
      <w:r w:rsidR="00AF5DDF" w:rsidRPr="00A34CD9">
        <w:rPr>
          <w:rFonts w:cstheme="minorHAnsi"/>
          <w:lang w:val="en-GB"/>
        </w:rPr>
        <w:t>)</w:t>
      </w:r>
      <w:r w:rsidR="00F66C5C" w:rsidRPr="00A34CD9">
        <w:rPr>
          <w:rFonts w:cstheme="minorHAnsi"/>
          <w:lang w:val="en-GB"/>
        </w:rPr>
        <w:t xml:space="preserve">. </w:t>
      </w:r>
      <w:r w:rsidR="00785EB5" w:rsidRPr="00A34CD9">
        <w:rPr>
          <w:rFonts w:cstheme="minorHAnsi"/>
          <w:lang w:val="en-GB"/>
        </w:rPr>
        <w:t>T</w:t>
      </w:r>
      <w:r w:rsidR="00F742C4" w:rsidRPr="00A34CD9">
        <w:rPr>
          <w:rFonts w:cstheme="minorHAnsi"/>
          <w:lang w:val="en-GB"/>
        </w:rPr>
        <w:t>he spatial bycatch risk assessment</w:t>
      </w:r>
      <w:r w:rsidR="00785EB5" w:rsidRPr="00A34CD9">
        <w:rPr>
          <w:rFonts w:cstheme="minorHAnsi"/>
          <w:lang w:val="en-GB"/>
        </w:rPr>
        <w:t xml:space="preserve"> focused</w:t>
      </w:r>
      <w:r w:rsidR="00F742C4" w:rsidRPr="00A34CD9">
        <w:rPr>
          <w:rFonts w:cstheme="minorHAnsi"/>
          <w:lang w:val="en-GB"/>
        </w:rPr>
        <w:t xml:space="preserve"> </w:t>
      </w:r>
      <w:r w:rsidR="008631F3" w:rsidRPr="00A34CD9">
        <w:rPr>
          <w:rFonts w:cstheme="minorHAnsi"/>
          <w:lang w:val="en-GB"/>
        </w:rPr>
        <w:t>on this</w:t>
      </w:r>
      <w:r w:rsidR="002240E2" w:rsidRPr="00A34CD9">
        <w:rPr>
          <w:rFonts w:cstheme="minorHAnsi"/>
          <w:lang w:val="en-GB"/>
        </w:rPr>
        <w:t xml:space="preserve"> period </w:t>
      </w:r>
      <w:r w:rsidR="005E1A76" w:rsidRPr="00A34CD9">
        <w:rPr>
          <w:rFonts w:cstheme="minorHAnsi"/>
          <w:lang w:val="en-GB"/>
        </w:rPr>
        <w:t xml:space="preserve">to </w:t>
      </w:r>
      <w:r w:rsidR="004A4665" w:rsidRPr="00A34CD9">
        <w:rPr>
          <w:rFonts w:cstheme="minorHAnsi"/>
          <w:lang w:val="en-GB"/>
        </w:rPr>
        <w:t>locate</w:t>
      </w:r>
      <w:r w:rsidR="00192A61" w:rsidRPr="00A34CD9">
        <w:rPr>
          <w:rFonts w:cstheme="minorHAnsi"/>
          <w:lang w:val="en-GB"/>
        </w:rPr>
        <w:t xml:space="preserve"> the </w:t>
      </w:r>
      <w:r w:rsidR="004A4665" w:rsidRPr="00A34CD9">
        <w:rPr>
          <w:rFonts w:cstheme="minorHAnsi"/>
          <w:lang w:val="en-GB"/>
        </w:rPr>
        <w:t xml:space="preserve">bycatch </w:t>
      </w:r>
      <w:r w:rsidR="00192A61" w:rsidRPr="00A34CD9">
        <w:rPr>
          <w:rFonts w:cstheme="minorHAnsi"/>
          <w:lang w:val="en-GB"/>
        </w:rPr>
        <w:t xml:space="preserve">exposure areas </w:t>
      </w:r>
      <w:r w:rsidR="00D80D19" w:rsidRPr="00A34CD9">
        <w:rPr>
          <w:rFonts w:cstheme="minorHAnsi"/>
          <w:lang w:val="en-GB"/>
        </w:rPr>
        <w:t xml:space="preserve">where </w:t>
      </w:r>
      <w:r w:rsidR="005E1A76" w:rsidRPr="00A34CD9">
        <w:rPr>
          <w:rFonts w:cstheme="minorHAnsi"/>
          <w:lang w:val="en-GB"/>
        </w:rPr>
        <w:t xml:space="preserve">the potential risk of bycatch </w:t>
      </w:r>
      <w:r w:rsidR="00D80D19" w:rsidRPr="00A34CD9">
        <w:rPr>
          <w:rFonts w:cstheme="minorHAnsi"/>
          <w:lang w:val="en-GB"/>
        </w:rPr>
        <w:t>was</w:t>
      </w:r>
      <w:r w:rsidR="005E1A76" w:rsidRPr="00A34CD9">
        <w:rPr>
          <w:rFonts w:cstheme="minorHAnsi"/>
          <w:lang w:val="en-GB"/>
        </w:rPr>
        <w:t xml:space="preserve"> higher.</w:t>
      </w:r>
      <w:r w:rsidR="00B46E87" w:rsidRPr="00A34CD9">
        <w:rPr>
          <w:rFonts w:cstheme="minorHAnsi"/>
          <w:lang w:val="en-GB"/>
        </w:rPr>
        <w:t xml:space="preserve"> </w:t>
      </w:r>
      <w:r w:rsidR="000F2610" w:rsidRPr="00A34CD9">
        <w:rPr>
          <w:rFonts w:cstheme="minorHAnsi"/>
          <w:lang w:val="en-GB"/>
        </w:rPr>
        <w:t xml:space="preserve">Briefly, </w:t>
      </w:r>
      <w:r w:rsidR="00212451" w:rsidRPr="00A34CD9">
        <w:rPr>
          <w:rFonts w:cstheme="minorHAnsi"/>
          <w:lang w:val="en-GB"/>
        </w:rPr>
        <w:t xml:space="preserve">the </w:t>
      </w:r>
      <w:r w:rsidR="00432A88" w:rsidRPr="00A34CD9">
        <w:rPr>
          <w:rFonts w:cstheme="minorHAnsi"/>
          <w:lang w:val="en-GB"/>
        </w:rPr>
        <w:t xml:space="preserve">fishing </w:t>
      </w:r>
      <w:r w:rsidR="00194AD1" w:rsidRPr="00A34CD9">
        <w:rPr>
          <w:rFonts w:cstheme="minorHAnsi"/>
          <w:lang w:val="en-GB"/>
        </w:rPr>
        <w:t xml:space="preserve">effort performed </w:t>
      </w:r>
      <w:r w:rsidR="00A45E35" w:rsidRPr="00A34CD9">
        <w:rPr>
          <w:rFonts w:cstheme="minorHAnsi"/>
          <w:lang w:val="en-GB"/>
        </w:rPr>
        <w:t xml:space="preserve">within the study area </w:t>
      </w:r>
      <w:r w:rsidR="00912A7B" w:rsidRPr="00A34CD9">
        <w:rPr>
          <w:rFonts w:cstheme="minorHAnsi"/>
          <w:lang w:val="en-GB"/>
        </w:rPr>
        <w:t xml:space="preserve">by month </w:t>
      </w:r>
      <w:r w:rsidR="00672768" w:rsidRPr="00A34CD9">
        <w:rPr>
          <w:rFonts w:cstheme="minorHAnsi"/>
          <w:lang w:val="en-GB"/>
        </w:rPr>
        <w:t xml:space="preserve">during July-September </w:t>
      </w:r>
      <w:r w:rsidR="00600971" w:rsidRPr="00A34CD9">
        <w:rPr>
          <w:rFonts w:cstheme="minorHAnsi"/>
          <w:lang w:val="en-GB"/>
        </w:rPr>
        <w:t xml:space="preserve">was higher </w:t>
      </w:r>
      <w:r w:rsidR="009101E6" w:rsidRPr="00A34CD9">
        <w:rPr>
          <w:rFonts w:cstheme="minorHAnsi"/>
          <w:lang w:val="en-GB"/>
        </w:rPr>
        <w:t>for L</w:t>
      </w:r>
      <w:r w:rsidR="00F62451" w:rsidRPr="00A34CD9">
        <w:rPr>
          <w:rFonts w:cstheme="minorHAnsi"/>
          <w:lang w:val="en-GB"/>
        </w:rPr>
        <w:t>HP</w:t>
      </w:r>
      <w:r w:rsidR="009101E6" w:rsidRPr="00A34CD9">
        <w:rPr>
          <w:rFonts w:cstheme="minorHAnsi"/>
          <w:lang w:val="en-GB"/>
        </w:rPr>
        <w:t xml:space="preserve"> (</w:t>
      </w:r>
      <w:r w:rsidR="00F62451" w:rsidRPr="00A34CD9">
        <w:rPr>
          <w:rFonts w:cstheme="minorHAnsi"/>
          <w:lang w:val="en-GB"/>
        </w:rPr>
        <w:t xml:space="preserve">LHP: </w:t>
      </w:r>
      <w:r w:rsidR="00706E73" w:rsidRPr="00A34CD9">
        <w:rPr>
          <w:rFonts w:cstheme="minorHAnsi"/>
          <w:lang w:val="en-GB"/>
        </w:rPr>
        <w:t>31973</w:t>
      </w:r>
      <w:r w:rsidR="003D63F0" w:rsidRPr="00A34CD9">
        <w:rPr>
          <w:rFonts w:cstheme="minorHAnsi"/>
          <w:lang w:val="en-GB"/>
        </w:rPr>
        <w:t>.8</w:t>
      </w:r>
      <w:r w:rsidR="006F3039" w:rsidRPr="00A34CD9">
        <w:rPr>
          <w:rFonts w:cstheme="minorHAnsi"/>
          <w:lang w:val="en-GB"/>
        </w:rPr>
        <w:t xml:space="preserve"> </w:t>
      </w:r>
      <w:r w:rsidR="00706E73" w:rsidRPr="00A34CD9">
        <w:rPr>
          <w:rFonts w:cstheme="minorHAnsi"/>
          <w:lang w:val="en-GB"/>
        </w:rPr>
        <w:t>±</w:t>
      </w:r>
      <w:r w:rsidR="006F3039" w:rsidRPr="00A34CD9">
        <w:rPr>
          <w:rFonts w:cstheme="minorHAnsi"/>
          <w:lang w:val="en-GB"/>
        </w:rPr>
        <w:t xml:space="preserve"> </w:t>
      </w:r>
      <w:r w:rsidR="003D63F0" w:rsidRPr="00A34CD9">
        <w:rPr>
          <w:rFonts w:cstheme="minorHAnsi"/>
          <w:lang w:val="en-GB"/>
        </w:rPr>
        <w:t xml:space="preserve">7587.4 </w:t>
      </w:r>
      <w:r w:rsidR="00F62451" w:rsidRPr="00A34CD9">
        <w:rPr>
          <w:rFonts w:cstheme="minorHAnsi"/>
          <w:lang w:val="en-GB"/>
        </w:rPr>
        <w:t xml:space="preserve">h and LTL </w:t>
      </w:r>
      <w:r w:rsidR="003D63F0" w:rsidRPr="00A34CD9">
        <w:rPr>
          <w:rFonts w:cstheme="minorHAnsi"/>
          <w:lang w:val="en-GB"/>
        </w:rPr>
        <w:t>21284.5</w:t>
      </w:r>
      <w:r w:rsidR="006F3039" w:rsidRPr="00A34CD9">
        <w:rPr>
          <w:rFonts w:cstheme="minorHAnsi"/>
          <w:lang w:val="en-GB"/>
        </w:rPr>
        <w:t xml:space="preserve"> </w:t>
      </w:r>
      <w:r w:rsidR="003D63F0" w:rsidRPr="00A34CD9">
        <w:rPr>
          <w:rFonts w:cstheme="minorHAnsi"/>
          <w:lang w:val="en-GB"/>
        </w:rPr>
        <w:t>±</w:t>
      </w:r>
      <w:r w:rsidR="006F3039" w:rsidRPr="00A34CD9">
        <w:rPr>
          <w:rFonts w:cstheme="minorHAnsi"/>
          <w:lang w:val="en-GB"/>
        </w:rPr>
        <w:t xml:space="preserve"> </w:t>
      </w:r>
      <w:r w:rsidR="003D63F0" w:rsidRPr="00A34CD9">
        <w:rPr>
          <w:rFonts w:cstheme="minorHAnsi"/>
          <w:lang w:val="en-GB"/>
        </w:rPr>
        <w:t>12514.8</w:t>
      </w:r>
      <w:r w:rsidR="00F62451" w:rsidRPr="00A34CD9">
        <w:rPr>
          <w:rFonts w:cstheme="minorHAnsi"/>
          <w:lang w:val="en-GB"/>
        </w:rPr>
        <w:t xml:space="preserve"> h)</w:t>
      </w:r>
      <w:r w:rsidR="003808EA" w:rsidRPr="00A34CD9">
        <w:rPr>
          <w:rFonts w:cstheme="minorHAnsi"/>
          <w:lang w:val="en-GB"/>
        </w:rPr>
        <w:t xml:space="preserve">. For both </w:t>
      </w:r>
      <w:r w:rsidR="00A34CD9" w:rsidRPr="00A34CD9">
        <w:rPr>
          <w:rFonts w:cstheme="minorHAnsi"/>
          <w:lang w:val="en-GB"/>
        </w:rPr>
        <w:t>metiers,</w:t>
      </w:r>
      <w:r w:rsidR="003808EA" w:rsidRPr="00A34CD9">
        <w:rPr>
          <w:rFonts w:cstheme="minorHAnsi"/>
          <w:lang w:val="en-GB"/>
        </w:rPr>
        <w:t xml:space="preserve"> the effort performed </w:t>
      </w:r>
      <w:r w:rsidR="00CF3F7B" w:rsidRPr="00A34CD9">
        <w:rPr>
          <w:rFonts w:cstheme="minorHAnsi"/>
          <w:lang w:val="en-GB"/>
        </w:rPr>
        <w:t xml:space="preserve">was higher over the </w:t>
      </w:r>
      <w:bookmarkStart w:id="26" w:name="_Hlk65671413"/>
      <w:r w:rsidR="004F3A97" w:rsidRPr="00A34CD9">
        <w:rPr>
          <w:rFonts w:cstheme="minorHAnsi"/>
          <w:lang w:val="en-GB"/>
        </w:rPr>
        <w:t>French</w:t>
      </w:r>
      <w:r w:rsidR="007C6F6C" w:rsidRPr="00A34CD9">
        <w:rPr>
          <w:rFonts w:cstheme="minorHAnsi"/>
          <w:lang w:val="en-GB"/>
        </w:rPr>
        <w:t xml:space="preserve"> and Spanish </w:t>
      </w:r>
      <w:r w:rsidR="006E5699" w:rsidRPr="00A34CD9">
        <w:rPr>
          <w:rFonts w:cstheme="minorHAnsi"/>
          <w:lang w:val="en-GB"/>
        </w:rPr>
        <w:t>shelf-break</w:t>
      </w:r>
      <w:r w:rsidR="004C77C3" w:rsidRPr="00A34CD9">
        <w:rPr>
          <w:rFonts w:cstheme="minorHAnsi"/>
          <w:lang w:val="en-GB"/>
        </w:rPr>
        <w:t xml:space="preserve">, the Spanish continental </w:t>
      </w:r>
      <w:r w:rsidR="003974F4" w:rsidRPr="00A34CD9">
        <w:rPr>
          <w:rFonts w:cstheme="minorHAnsi"/>
          <w:lang w:val="en-GB"/>
        </w:rPr>
        <w:t>shelf,</w:t>
      </w:r>
      <w:r w:rsidR="004C77C3" w:rsidRPr="00A34CD9">
        <w:rPr>
          <w:rFonts w:cstheme="minorHAnsi"/>
          <w:lang w:val="en-GB"/>
        </w:rPr>
        <w:t xml:space="preserve"> and </w:t>
      </w:r>
      <w:r w:rsidR="00B73F37" w:rsidRPr="00A34CD9">
        <w:rPr>
          <w:rFonts w:cstheme="minorHAnsi"/>
          <w:lang w:val="en-GB"/>
        </w:rPr>
        <w:t>offshore</w:t>
      </w:r>
      <w:r w:rsidR="004F3A97" w:rsidRPr="00A34CD9">
        <w:rPr>
          <w:rFonts w:cstheme="minorHAnsi"/>
          <w:lang w:val="en-GB"/>
        </w:rPr>
        <w:t xml:space="preserve"> waters</w:t>
      </w:r>
      <w:r w:rsidR="00F10832" w:rsidRPr="00A34CD9">
        <w:rPr>
          <w:rFonts w:cstheme="minorHAnsi"/>
          <w:lang w:val="en-GB"/>
        </w:rPr>
        <w:t xml:space="preserve"> </w:t>
      </w:r>
      <w:r w:rsidR="00B73F37" w:rsidRPr="00A34CD9">
        <w:rPr>
          <w:rFonts w:cstheme="minorHAnsi"/>
          <w:lang w:val="en-GB"/>
        </w:rPr>
        <w:t xml:space="preserve">of the </w:t>
      </w:r>
      <w:proofErr w:type="spellStart"/>
      <w:r w:rsidR="00B73F37" w:rsidRPr="00A34CD9">
        <w:rPr>
          <w:rFonts w:cstheme="minorHAnsi"/>
          <w:lang w:val="en-GB"/>
        </w:rPr>
        <w:t>BoB</w:t>
      </w:r>
      <w:proofErr w:type="spellEnd"/>
      <w:r w:rsidR="00140B21" w:rsidRPr="00A34CD9">
        <w:rPr>
          <w:rFonts w:cstheme="minorHAnsi"/>
          <w:lang w:val="en-GB"/>
        </w:rPr>
        <w:t xml:space="preserve"> </w:t>
      </w:r>
      <w:r w:rsidR="008C2C61" w:rsidRPr="00A34CD9">
        <w:rPr>
          <w:rFonts w:cstheme="minorHAnsi"/>
          <w:lang w:val="en-GB"/>
        </w:rPr>
        <w:t>(</w:t>
      </w:r>
      <w:r w:rsidR="008D0E63" w:rsidRPr="00A34CD9">
        <w:rPr>
          <w:rFonts w:cstheme="minorHAnsi"/>
          <w:color w:val="A6A6A6" w:themeColor="background1" w:themeShade="A6"/>
          <w:lang w:val="en-GB"/>
        </w:rPr>
        <w:t>Figure</w:t>
      </w:r>
      <w:r w:rsidR="008C2C61" w:rsidRPr="00A34CD9">
        <w:rPr>
          <w:rFonts w:cstheme="minorHAnsi"/>
          <w:color w:val="A6A6A6" w:themeColor="background1" w:themeShade="A6"/>
          <w:lang w:val="en-GB"/>
        </w:rPr>
        <w:t xml:space="preserve"> 4</w:t>
      </w:r>
      <w:r w:rsidR="008C2C61" w:rsidRPr="00A34CD9">
        <w:rPr>
          <w:rFonts w:cstheme="minorHAnsi"/>
          <w:lang w:val="en-GB"/>
        </w:rPr>
        <w:t>)</w:t>
      </w:r>
      <w:r w:rsidR="00B73F37" w:rsidRPr="00A34CD9">
        <w:rPr>
          <w:rFonts w:cstheme="minorHAnsi"/>
          <w:lang w:val="en-GB"/>
        </w:rPr>
        <w:t>.</w:t>
      </w:r>
      <w:bookmarkEnd w:id="26"/>
      <w:r w:rsidR="00B73F37" w:rsidRPr="00A34CD9">
        <w:rPr>
          <w:rFonts w:cstheme="minorHAnsi"/>
          <w:lang w:val="en-GB"/>
        </w:rPr>
        <w:t xml:space="preserve"> </w:t>
      </w:r>
      <w:r w:rsidR="00361FA1" w:rsidRPr="00A34CD9">
        <w:rPr>
          <w:rFonts w:cstheme="minorHAnsi"/>
          <w:lang w:val="en-GB"/>
        </w:rPr>
        <w:t>In the case of LHP</w:t>
      </w:r>
      <w:r w:rsidR="00140B21" w:rsidRPr="00A34CD9">
        <w:rPr>
          <w:rFonts w:cstheme="minorHAnsi"/>
          <w:lang w:val="en-GB"/>
        </w:rPr>
        <w:t>,</w:t>
      </w:r>
      <w:r w:rsidR="00361FA1" w:rsidRPr="00A34CD9">
        <w:rPr>
          <w:rFonts w:cstheme="minorHAnsi"/>
          <w:lang w:val="en-GB"/>
        </w:rPr>
        <w:t xml:space="preserve"> fishing effort was also performed near</w:t>
      </w:r>
      <w:r w:rsidR="001E7CA3" w:rsidRPr="00A34CD9">
        <w:rPr>
          <w:rFonts w:cstheme="minorHAnsi"/>
          <w:lang w:val="en-GB"/>
        </w:rPr>
        <w:t xml:space="preserve"> </w:t>
      </w:r>
      <w:proofErr w:type="spellStart"/>
      <w:r w:rsidR="00D53E6B" w:rsidRPr="00A34CD9">
        <w:rPr>
          <w:rFonts w:cstheme="minorHAnsi"/>
          <w:lang w:val="en-GB"/>
        </w:rPr>
        <w:t>Arcachon</w:t>
      </w:r>
      <w:proofErr w:type="spellEnd"/>
      <w:r w:rsidR="00D53E6B" w:rsidRPr="00A34CD9">
        <w:rPr>
          <w:rFonts w:cstheme="minorHAnsi"/>
          <w:lang w:val="en-GB"/>
        </w:rPr>
        <w:t xml:space="preserve"> Bay and </w:t>
      </w:r>
      <w:r w:rsidR="00437BF1" w:rsidRPr="00A34CD9">
        <w:rPr>
          <w:rFonts w:cstheme="minorHAnsi"/>
          <w:lang w:val="en-GB"/>
        </w:rPr>
        <w:t xml:space="preserve">in areas near the influence of the </w:t>
      </w:r>
      <w:proofErr w:type="spellStart"/>
      <w:r w:rsidR="00437BF1" w:rsidRPr="00A34CD9">
        <w:rPr>
          <w:rFonts w:cstheme="minorHAnsi"/>
          <w:lang w:val="en-GB"/>
        </w:rPr>
        <w:t>Girond</w:t>
      </w:r>
      <w:proofErr w:type="spellEnd"/>
      <w:r w:rsidR="00437BF1" w:rsidRPr="00A34CD9">
        <w:rPr>
          <w:rFonts w:cstheme="minorHAnsi"/>
          <w:lang w:val="en-GB"/>
        </w:rPr>
        <w:t xml:space="preserve"> river. </w:t>
      </w:r>
      <w:r w:rsidR="00232B82" w:rsidRPr="00A34CD9">
        <w:rPr>
          <w:rFonts w:cstheme="minorHAnsi"/>
          <w:lang w:val="en-GB"/>
        </w:rPr>
        <w:t xml:space="preserve">For both, LHP and LTL, 2014 was the year with the lowest fishing effort performed whilst </w:t>
      </w:r>
      <w:r w:rsidR="0016798C" w:rsidRPr="00A34CD9">
        <w:rPr>
          <w:rFonts w:cstheme="minorHAnsi"/>
          <w:lang w:val="en-GB"/>
        </w:rPr>
        <w:t>during 2017 the effort was the highest of the time</w:t>
      </w:r>
      <w:r w:rsidR="003D29E2" w:rsidRPr="00A34CD9">
        <w:rPr>
          <w:rFonts w:cstheme="minorHAnsi"/>
          <w:lang w:val="en-GB"/>
        </w:rPr>
        <w:t>-</w:t>
      </w:r>
      <w:r w:rsidR="0016798C" w:rsidRPr="00A34CD9">
        <w:rPr>
          <w:rFonts w:cstheme="minorHAnsi"/>
          <w:lang w:val="en-GB"/>
        </w:rPr>
        <w:t>series (</w:t>
      </w:r>
      <w:r w:rsidR="008D0E63" w:rsidRPr="00A34CD9">
        <w:rPr>
          <w:rFonts w:cstheme="minorHAnsi"/>
          <w:color w:val="A6A6A6" w:themeColor="background1" w:themeShade="A6"/>
          <w:lang w:val="en-GB"/>
        </w:rPr>
        <w:t>Supplementary Figure</w:t>
      </w:r>
      <w:r w:rsidR="0016798C" w:rsidRPr="00A34CD9">
        <w:rPr>
          <w:rFonts w:cstheme="minorHAnsi"/>
          <w:color w:val="A6A6A6" w:themeColor="background1" w:themeShade="A6"/>
          <w:lang w:val="en-GB"/>
        </w:rPr>
        <w:t xml:space="preserve"> </w:t>
      </w:r>
      <w:r w:rsidR="00140B21" w:rsidRPr="00A34CD9">
        <w:rPr>
          <w:rFonts w:cstheme="minorHAnsi"/>
          <w:color w:val="A6A6A6" w:themeColor="background1" w:themeShade="A6"/>
          <w:lang w:val="en-GB"/>
        </w:rPr>
        <w:t>C.</w:t>
      </w:r>
      <w:r w:rsidR="00CE2ED7" w:rsidRPr="00A34CD9">
        <w:rPr>
          <w:rFonts w:cstheme="minorHAnsi"/>
          <w:color w:val="A6A6A6" w:themeColor="background1" w:themeShade="A6"/>
          <w:lang w:val="en-GB"/>
        </w:rPr>
        <w:t>1</w:t>
      </w:r>
      <w:r w:rsidR="0016798C" w:rsidRPr="00A34CD9">
        <w:rPr>
          <w:rFonts w:cstheme="minorHAnsi"/>
          <w:lang w:val="en-GB"/>
        </w:rPr>
        <w:t>).</w:t>
      </w:r>
    </w:p>
    <w:p w14:paraId="69240E1D" w14:textId="649C2F65" w:rsidR="0021579D" w:rsidRPr="00A34CD9" w:rsidRDefault="000D5121" w:rsidP="002A528E">
      <w:pPr>
        <w:pStyle w:val="Prrafodelista"/>
        <w:numPr>
          <w:ilvl w:val="1"/>
          <w:numId w:val="3"/>
        </w:numPr>
        <w:suppressLineNumbers/>
        <w:spacing w:line="480" w:lineRule="auto"/>
        <w:jc w:val="both"/>
        <w:outlineLvl w:val="1"/>
        <w:rPr>
          <w:rFonts w:cstheme="minorHAnsi"/>
          <w:b/>
          <w:bCs/>
          <w:sz w:val="24"/>
          <w:szCs w:val="24"/>
          <w:lang w:val="en-GB"/>
        </w:rPr>
      </w:pPr>
      <w:r w:rsidRPr="00A34CD9">
        <w:rPr>
          <w:rFonts w:cstheme="minorHAnsi"/>
          <w:b/>
          <w:bCs/>
          <w:sz w:val="24"/>
          <w:szCs w:val="24"/>
          <w:lang w:val="en-GB"/>
        </w:rPr>
        <w:t>R</w:t>
      </w:r>
      <w:r w:rsidR="005629D5" w:rsidRPr="00A34CD9">
        <w:rPr>
          <w:rFonts w:cstheme="minorHAnsi"/>
          <w:b/>
          <w:bCs/>
          <w:sz w:val="24"/>
          <w:szCs w:val="24"/>
          <w:lang w:val="en-GB"/>
        </w:rPr>
        <w:t>isk</w:t>
      </w:r>
      <w:r w:rsidRPr="00A34CD9">
        <w:rPr>
          <w:rFonts w:cstheme="minorHAnsi"/>
          <w:b/>
          <w:bCs/>
          <w:sz w:val="24"/>
          <w:szCs w:val="24"/>
          <w:lang w:val="en-GB"/>
        </w:rPr>
        <w:t xml:space="preserve"> assessment</w:t>
      </w:r>
    </w:p>
    <w:p w14:paraId="6B84707A" w14:textId="00F0981E" w:rsidR="00DC3D32" w:rsidRPr="00A34CD9" w:rsidRDefault="00E415F0" w:rsidP="002A528E">
      <w:pPr>
        <w:suppressLineNumbers/>
        <w:spacing w:line="480" w:lineRule="auto"/>
        <w:jc w:val="both"/>
        <w:rPr>
          <w:rFonts w:cstheme="minorHAnsi"/>
          <w:lang w:val="en-GB"/>
        </w:rPr>
      </w:pPr>
      <w:r w:rsidRPr="00A34CD9">
        <w:rPr>
          <w:rFonts w:cstheme="minorHAnsi"/>
          <w:lang w:val="en-GB"/>
        </w:rPr>
        <w:t xml:space="preserve">The PSA </w:t>
      </w:r>
      <w:r w:rsidR="00B27775" w:rsidRPr="00A34CD9">
        <w:rPr>
          <w:rFonts w:cstheme="minorHAnsi"/>
          <w:lang w:val="en-GB"/>
        </w:rPr>
        <w:t xml:space="preserve">showed that </w:t>
      </w:r>
      <w:r w:rsidR="007D03CF" w:rsidRPr="00A34CD9">
        <w:rPr>
          <w:rFonts w:cstheme="minorHAnsi"/>
          <w:lang w:val="en-GB"/>
        </w:rPr>
        <w:t>LTL</w:t>
      </w:r>
      <w:r w:rsidR="003D2FAE" w:rsidRPr="00A34CD9">
        <w:rPr>
          <w:rFonts w:cstheme="minorHAnsi"/>
          <w:lang w:val="en-GB"/>
        </w:rPr>
        <w:t xml:space="preserve"> generated the largest potential mean risk score</w:t>
      </w:r>
      <w:r w:rsidR="00605503" w:rsidRPr="00A34CD9">
        <w:rPr>
          <w:rFonts w:cstheme="minorHAnsi"/>
          <w:lang w:val="en-GB"/>
        </w:rPr>
        <w:t xml:space="preserve"> (3.12±0.09)</w:t>
      </w:r>
      <w:r w:rsidR="001E194C" w:rsidRPr="00A34CD9">
        <w:rPr>
          <w:rFonts w:cstheme="minorHAnsi"/>
          <w:lang w:val="en-GB"/>
        </w:rPr>
        <w:t xml:space="preserve"> and were assessed as posing a moderate risk</w:t>
      </w:r>
      <w:r w:rsidR="007A2AB4" w:rsidRPr="00A34CD9">
        <w:rPr>
          <w:rFonts w:cstheme="minorHAnsi"/>
          <w:lang w:val="en-GB"/>
        </w:rPr>
        <w:t xml:space="preserve"> to great shearwaters (</w:t>
      </w:r>
      <w:r w:rsidR="007A2AB4" w:rsidRPr="00A34CD9">
        <w:rPr>
          <w:rFonts w:cstheme="minorHAnsi"/>
          <w:color w:val="A6A6A6" w:themeColor="background1" w:themeShade="A6"/>
          <w:lang w:val="en-GB"/>
        </w:rPr>
        <w:t xml:space="preserve">Figure </w:t>
      </w:r>
      <w:r w:rsidR="00D54B99" w:rsidRPr="00A34CD9">
        <w:rPr>
          <w:rFonts w:cstheme="minorHAnsi"/>
          <w:color w:val="A6A6A6" w:themeColor="background1" w:themeShade="A6"/>
          <w:lang w:val="en-GB"/>
        </w:rPr>
        <w:t>5</w:t>
      </w:r>
      <w:r w:rsidR="000C1EFB" w:rsidRPr="00A34CD9">
        <w:rPr>
          <w:rFonts w:cstheme="minorHAnsi"/>
          <w:lang w:val="en-GB"/>
        </w:rPr>
        <w:t>)</w:t>
      </w:r>
      <w:r w:rsidR="00B27775" w:rsidRPr="00A34CD9">
        <w:rPr>
          <w:rFonts w:cstheme="minorHAnsi"/>
          <w:lang w:val="en-GB"/>
        </w:rPr>
        <w:t xml:space="preserve"> whilst LHP also posing a moderate risk to the species</w:t>
      </w:r>
      <w:r w:rsidR="00815B36" w:rsidRPr="00A34CD9">
        <w:rPr>
          <w:rFonts w:cstheme="minorHAnsi"/>
          <w:lang w:val="en-GB"/>
        </w:rPr>
        <w:t xml:space="preserve"> showed a lower potential risk</w:t>
      </w:r>
      <w:r w:rsidR="00785EB5" w:rsidRPr="00A34CD9">
        <w:rPr>
          <w:rFonts w:cstheme="minorHAnsi"/>
          <w:lang w:val="en-GB"/>
        </w:rPr>
        <w:t xml:space="preserve"> on average</w:t>
      </w:r>
      <w:r w:rsidR="00605503" w:rsidRPr="00A34CD9">
        <w:rPr>
          <w:rFonts w:cstheme="minorHAnsi"/>
          <w:lang w:val="en-GB"/>
        </w:rPr>
        <w:t xml:space="preserve"> (2.70±0.05</w:t>
      </w:r>
      <w:r w:rsidR="00785EB5" w:rsidRPr="00A34CD9">
        <w:rPr>
          <w:rFonts w:cstheme="minorHAnsi"/>
          <w:lang w:val="en-GB"/>
        </w:rPr>
        <w:t>) .T</w:t>
      </w:r>
      <w:r w:rsidR="003D194D" w:rsidRPr="00A34CD9">
        <w:rPr>
          <w:rFonts w:cstheme="minorHAnsi"/>
          <w:lang w:val="en-GB"/>
        </w:rPr>
        <w:t xml:space="preserve">he extent of co-occurrence, </w:t>
      </w:r>
      <w:r w:rsidR="003D194D" w:rsidRPr="00A34CD9">
        <w:rPr>
          <w:rFonts w:cstheme="minorHAnsi"/>
          <w:i/>
          <w:iCs/>
          <w:lang w:val="en-GB"/>
        </w:rPr>
        <w:t xml:space="preserve">i.e., </w:t>
      </w:r>
      <w:r w:rsidR="003D194D" w:rsidRPr="00A34CD9">
        <w:rPr>
          <w:rFonts w:cstheme="minorHAnsi"/>
          <w:lang w:val="en-GB"/>
        </w:rPr>
        <w:t>availability</w:t>
      </w:r>
      <w:r w:rsidR="009819FE" w:rsidRPr="00A34CD9">
        <w:rPr>
          <w:rFonts w:cstheme="minorHAnsi"/>
          <w:lang w:val="en-GB"/>
        </w:rPr>
        <w:t>, was higher for LTL</w:t>
      </w:r>
      <w:r w:rsidR="000F31B2" w:rsidRPr="00A34CD9">
        <w:rPr>
          <w:rFonts w:cstheme="minorHAnsi"/>
          <w:lang w:val="en-GB"/>
        </w:rPr>
        <w:t xml:space="preserve"> </w:t>
      </w:r>
      <w:r w:rsidR="001D33F8" w:rsidRPr="00A34CD9">
        <w:rPr>
          <w:rFonts w:cstheme="minorHAnsi"/>
          <w:lang w:val="en-GB"/>
        </w:rPr>
        <w:t xml:space="preserve">due to the </w:t>
      </w:r>
      <w:r w:rsidR="00A47940" w:rsidRPr="00A34CD9">
        <w:rPr>
          <w:rFonts w:cstheme="minorHAnsi"/>
          <w:lang w:val="en-GB"/>
        </w:rPr>
        <w:t>higher</w:t>
      </w:r>
      <w:r w:rsidR="00785EB5" w:rsidRPr="00A34CD9">
        <w:rPr>
          <w:rFonts w:cstheme="minorHAnsi"/>
          <w:lang w:val="en-GB"/>
        </w:rPr>
        <w:t xml:space="preserve"> spatial coverage of</w:t>
      </w:r>
      <w:r w:rsidR="000E5616" w:rsidRPr="00A34CD9">
        <w:rPr>
          <w:rFonts w:cstheme="minorHAnsi"/>
          <w:lang w:val="en-GB"/>
        </w:rPr>
        <w:t xml:space="preserve"> fishing activity</w:t>
      </w:r>
      <w:r w:rsidR="00A47940" w:rsidRPr="00A34CD9">
        <w:rPr>
          <w:rFonts w:cstheme="minorHAnsi"/>
          <w:lang w:val="en-GB"/>
        </w:rPr>
        <w:t xml:space="preserve"> performed over</w:t>
      </w:r>
      <w:r w:rsidR="000E5616" w:rsidRPr="00A34CD9">
        <w:rPr>
          <w:rFonts w:cstheme="minorHAnsi"/>
          <w:lang w:val="en-GB"/>
        </w:rPr>
        <w:t xml:space="preserve"> the study area</w:t>
      </w:r>
      <w:r w:rsidR="00785EB5" w:rsidRPr="00A34CD9">
        <w:rPr>
          <w:rFonts w:cstheme="minorHAnsi"/>
          <w:lang w:val="en-GB"/>
        </w:rPr>
        <w:t>, generating higher scores for availability.</w:t>
      </w:r>
      <w:r w:rsidR="00D944E1" w:rsidRPr="00A34CD9">
        <w:rPr>
          <w:rFonts w:cstheme="minorHAnsi"/>
          <w:lang w:val="en-GB"/>
        </w:rPr>
        <w:t xml:space="preserve"> </w:t>
      </w:r>
      <w:r w:rsidR="00C54308" w:rsidRPr="00A34CD9">
        <w:rPr>
          <w:rFonts w:cstheme="minorHAnsi"/>
          <w:lang w:val="en-GB"/>
        </w:rPr>
        <w:t>Regarding</w:t>
      </w:r>
      <w:r w:rsidR="00E54749" w:rsidRPr="00A34CD9">
        <w:rPr>
          <w:rFonts w:cstheme="minorHAnsi"/>
          <w:lang w:val="en-GB"/>
        </w:rPr>
        <w:t xml:space="preserve"> the exposure, </w:t>
      </w:r>
      <w:r w:rsidR="000706E2" w:rsidRPr="00A34CD9">
        <w:rPr>
          <w:rFonts w:cstheme="minorHAnsi"/>
          <w:lang w:val="en-GB"/>
        </w:rPr>
        <w:t>most of the cells showed moderate exposure</w:t>
      </w:r>
      <w:r w:rsidR="005E659C" w:rsidRPr="00A34CD9">
        <w:rPr>
          <w:rFonts w:cstheme="minorHAnsi"/>
          <w:lang w:val="en-GB"/>
        </w:rPr>
        <w:t xml:space="preserve"> for both gears with slightly difference</w:t>
      </w:r>
      <w:r w:rsidR="00C54308" w:rsidRPr="00A34CD9">
        <w:rPr>
          <w:rFonts w:cstheme="minorHAnsi"/>
          <w:lang w:val="en-GB"/>
        </w:rPr>
        <w:t>s</w:t>
      </w:r>
      <w:r w:rsidR="005E659C" w:rsidRPr="00A34CD9">
        <w:rPr>
          <w:rFonts w:cstheme="minorHAnsi"/>
          <w:lang w:val="en-GB"/>
        </w:rPr>
        <w:t xml:space="preserve"> of scoring </w:t>
      </w:r>
      <w:r w:rsidR="00C54308" w:rsidRPr="00A34CD9">
        <w:rPr>
          <w:rFonts w:cstheme="minorHAnsi"/>
          <w:lang w:val="en-GB"/>
        </w:rPr>
        <w:t>in the case of</w:t>
      </w:r>
      <w:r w:rsidR="003C388D" w:rsidRPr="00A34CD9">
        <w:rPr>
          <w:rFonts w:cstheme="minorHAnsi"/>
          <w:lang w:val="en-GB"/>
        </w:rPr>
        <w:t xml:space="preserve"> </w:t>
      </w:r>
      <w:r w:rsidR="00ED3650" w:rsidRPr="00A34CD9">
        <w:rPr>
          <w:rFonts w:cstheme="minorHAnsi"/>
          <w:lang w:val="en-GB"/>
        </w:rPr>
        <w:t>LTL</w:t>
      </w:r>
      <w:r w:rsidR="005E659C" w:rsidRPr="00A34CD9">
        <w:rPr>
          <w:rFonts w:cstheme="minorHAnsi"/>
          <w:lang w:val="en-GB"/>
        </w:rPr>
        <w:t xml:space="preserve"> </w:t>
      </w:r>
      <w:r w:rsidR="00C54308" w:rsidRPr="00A34CD9">
        <w:rPr>
          <w:rFonts w:cstheme="minorHAnsi"/>
          <w:lang w:val="en-GB"/>
        </w:rPr>
        <w:t>with</w:t>
      </w:r>
      <w:r w:rsidR="005E659C" w:rsidRPr="00A34CD9">
        <w:rPr>
          <w:rFonts w:cstheme="minorHAnsi"/>
          <w:lang w:val="en-GB"/>
        </w:rPr>
        <w:t xml:space="preserve"> more</w:t>
      </w:r>
      <w:r w:rsidR="00D66075" w:rsidRPr="00A34CD9">
        <w:rPr>
          <w:rFonts w:cstheme="minorHAnsi"/>
          <w:lang w:val="en-GB"/>
        </w:rPr>
        <w:t xml:space="preserve"> cells scoring with high risk</w:t>
      </w:r>
      <w:r w:rsidR="00C54308" w:rsidRPr="00A34CD9">
        <w:rPr>
          <w:rFonts w:cstheme="minorHAnsi"/>
          <w:lang w:val="en-GB"/>
        </w:rPr>
        <w:t xml:space="preserve"> and in the case of LHP with more cells scoring with low risk.</w:t>
      </w:r>
      <w:r w:rsidR="00E02297" w:rsidRPr="00A34CD9">
        <w:rPr>
          <w:rFonts w:cstheme="minorHAnsi"/>
          <w:lang w:val="en-GB"/>
        </w:rPr>
        <w:t xml:space="preserve"> These differences were attributed to the higher levels of co-occurrence of high fishing activity and high species density areas</w:t>
      </w:r>
      <w:r w:rsidR="00A34CD9" w:rsidRPr="00A34CD9">
        <w:rPr>
          <w:rFonts w:cstheme="minorHAnsi"/>
          <w:lang w:val="en-GB"/>
        </w:rPr>
        <w:t xml:space="preserve">. </w:t>
      </w:r>
      <w:r w:rsidR="0026237D" w:rsidRPr="00A34CD9">
        <w:rPr>
          <w:rFonts w:cstheme="minorHAnsi"/>
          <w:lang w:val="en-GB"/>
        </w:rPr>
        <w:t>Despite</w:t>
      </w:r>
      <w:r w:rsidR="009E6DE9" w:rsidRPr="00A34CD9">
        <w:rPr>
          <w:rFonts w:cstheme="minorHAnsi"/>
          <w:lang w:val="en-GB"/>
        </w:rPr>
        <w:t xml:space="preserve"> the high </w:t>
      </w:r>
      <w:proofErr w:type="spellStart"/>
      <w:r w:rsidR="009E6DE9" w:rsidRPr="00A34CD9">
        <w:rPr>
          <w:rFonts w:cstheme="minorHAnsi"/>
          <w:lang w:val="en-GB"/>
        </w:rPr>
        <w:t>encounterability</w:t>
      </w:r>
      <w:proofErr w:type="spellEnd"/>
      <w:r w:rsidR="009E6DE9" w:rsidRPr="00A34CD9">
        <w:rPr>
          <w:rFonts w:cstheme="minorHAnsi"/>
          <w:lang w:val="en-GB"/>
        </w:rPr>
        <w:t xml:space="preserve"> </w:t>
      </w:r>
      <w:r w:rsidR="00711CEB" w:rsidRPr="00711CEB">
        <w:rPr>
          <w:rFonts w:cstheme="minorHAnsi"/>
          <w:lang w:val="en-GB"/>
        </w:rPr>
        <w:t>shown by</w:t>
      </w:r>
      <w:r w:rsidR="009E6DE9" w:rsidRPr="00A34CD9">
        <w:rPr>
          <w:rFonts w:cstheme="minorHAnsi"/>
          <w:lang w:val="en-GB"/>
        </w:rPr>
        <w:t xml:space="preserve"> both metiers</w:t>
      </w:r>
      <w:r w:rsidR="0080711B" w:rsidRPr="00A34CD9">
        <w:rPr>
          <w:rFonts w:cstheme="minorHAnsi"/>
          <w:lang w:val="en-GB"/>
        </w:rPr>
        <w:t>, the abovementioned moderate levels of availability and exposure</w:t>
      </w:r>
      <w:r w:rsidR="00711CEB">
        <w:rPr>
          <w:rFonts w:cstheme="minorHAnsi"/>
          <w:lang w:val="en-GB"/>
        </w:rPr>
        <w:t>,</w:t>
      </w:r>
      <w:r w:rsidR="0080711B" w:rsidRPr="00A34CD9">
        <w:rPr>
          <w:rFonts w:cstheme="minorHAnsi"/>
          <w:lang w:val="en-GB"/>
        </w:rPr>
        <w:t xml:space="preserve"> </w:t>
      </w:r>
      <w:r w:rsidR="001F0FBC" w:rsidRPr="00A34CD9">
        <w:rPr>
          <w:rFonts w:cstheme="minorHAnsi"/>
          <w:lang w:val="en-GB"/>
        </w:rPr>
        <w:t>together</w:t>
      </w:r>
      <w:r w:rsidR="0080711B" w:rsidRPr="00A34CD9">
        <w:rPr>
          <w:rFonts w:cstheme="minorHAnsi"/>
          <w:lang w:val="en-GB"/>
        </w:rPr>
        <w:t xml:space="preserve"> with the high </w:t>
      </w:r>
      <w:r w:rsidR="0080711B" w:rsidRPr="00A34CD9">
        <w:rPr>
          <w:rFonts w:cstheme="minorHAnsi"/>
          <w:lang w:val="en-GB"/>
        </w:rPr>
        <w:lastRenderedPageBreak/>
        <w:t xml:space="preserve">selectivity of the metiers </w:t>
      </w:r>
      <w:r w:rsidR="00891B5A" w:rsidRPr="00A34CD9">
        <w:rPr>
          <w:rFonts w:cstheme="minorHAnsi"/>
          <w:lang w:val="en-GB"/>
        </w:rPr>
        <w:t>(low potential for capture)</w:t>
      </w:r>
      <w:r w:rsidR="00096027" w:rsidRPr="00A34CD9">
        <w:rPr>
          <w:rFonts w:cstheme="minorHAnsi"/>
          <w:lang w:val="en-GB"/>
        </w:rPr>
        <w:t xml:space="preserve"> make the potential risk to the artisanal tuna fishery moderate.</w:t>
      </w:r>
    </w:p>
    <w:p w14:paraId="2AF5C102" w14:textId="58BDF198" w:rsidR="004649FD" w:rsidRPr="00A34CD9" w:rsidRDefault="001600C7" w:rsidP="002A528E">
      <w:pPr>
        <w:suppressLineNumbers/>
        <w:spacing w:line="480" w:lineRule="auto"/>
        <w:jc w:val="both"/>
        <w:rPr>
          <w:rFonts w:cstheme="minorHAnsi"/>
          <w:lang w:val="en-GB"/>
        </w:rPr>
      </w:pPr>
      <w:r w:rsidRPr="00A34CD9">
        <w:rPr>
          <w:rFonts w:cstheme="minorHAnsi"/>
          <w:lang w:val="en-GB"/>
        </w:rPr>
        <w:t>Overall</w:t>
      </w:r>
      <w:r w:rsidR="007E1866" w:rsidRPr="00A34CD9">
        <w:rPr>
          <w:rFonts w:cstheme="minorHAnsi"/>
          <w:lang w:val="en-GB"/>
        </w:rPr>
        <w:t>,</w:t>
      </w:r>
      <w:r w:rsidR="003D3C73" w:rsidRPr="00A34CD9">
        <w:rPr>
          <w:rFonts w:cstheme="minorHAnsi"/>
          <w:lang w:val="en-GB"/>
        </w:rPr>
        <w:t xml:space="preserve"> the distribution and scale of potential risk</w:t>
      </w:r>
      <w:r w:rsidR="005517DB" w:rsidRPr="00A34CD9">
        <w:rPr>
          <w:rFonts w:cstheme="minorHAnsi"/>
          <w:lang w:val="en-GB"/>
        </w:rPr>
        <w:t xml:space="preserve"> differed between </w:t>
      </w:r>
      <w:r w:rsidR="00711CEB">
        <w:rPr>
          <w:rFonts w:cstheme="minorHAnsi"/>
          <w:lang w:val="en-GB"/>
        </w:rPr>
        <w:t>metiers</w:t>
      </w:r>
      <w:r w:rsidR="005517DB" w:rsidRPr="00A34CD9">
        <w:rPr>
          <w:rFonts w:cstheme="minorHAnsi"/>
          <w:lang w:val="en-GB"/>
        </w:rPr>
        <w:t xml:space="preserve"> </w:t>
      </w:r>
      <w:r w:rsidR="00CE7EE7" w:rsidRPr="00A34CD9">
        <w:rPr>
          <w:rFonts w:cstheme="minorHAnsi"/>
          <w:lang w:val="en-GB"/>
        </w:rPr>
        <w:t>(</w:t>
      </w:r>
      <w:r w:rsidR="00CE7EE7" w:rsidRPr="00A34CD9">
        <w:rPr>
          <w:rFonts w:cstheme="minorHAnsi"/>
          <w:color w:val="A6A6A6" w:themeColor="background1" w:themeShade="A6"/>
          <w:lang w:val="en-GB"/>
        </w:rPr>
        <w:t>Figure 6</w:t>
      </w:r>
      <w:r w:rsidR="00CE7EE7" w:rsidRPr="00A34CD9">
        <w:rPr>
          <w:rFonts w:cstheme="minorHAnsi"/>
          <w:lang w:val="en-GB"/>
        </w:rPr>
        <w:t>)</w:t>
      </w:r>
      <w:r w:rsidR="00756598" w:rsidRPr="00A34CD9">
        <w:rPr>
          <w:rFonts w:cstheme="minorHAnsi"/>
          <w:lang w:val="en-GB"/>
        </w:rPr>
        <w:t xml:space="preserve">. </w:t>
      </w:r>
      <w:r w:rsidR="009A7D06" w:rsidRPr="00A34CD9">
        <w:rPr>
          <w:rFonts w:cstheme="minorHAnsi"/>
          <w:lang w:val="en-GB"/>
        </w:rPr>
        <w:t>Regarding the scale of the risk, w</w:t>
      </w:r>
      <w:r w:rsidR="0057234D" w:rsidRPr="00A34CD9">
        <w:rPr>
          <w:rFonts w:cstheme="minorHAnsi"/>
          <w:lang w:val="en-GB"/>
        </w:rPr>
        <w:t xml:space="preserve">hilst </w:t>
      </w:r>
      <w:r w:rsidR="00D04D3F" w:rsidRPr="00A34CD9">
        <w:rPr>
          <w:rFonts w:cstheme="minorHAnsi"/>
          <w:lang w:val="en-GB"/>
        </w:rPr>
        <w:t>LHP</w:t>
      </w:r>
      <w:r w:rsidR="00B17BC7" w:rsidRPr="00A34CD9">
        <w:rPr>
          <w:rFonts w:cstheme="minorHAnsi"/>
          <w:lang w:val="en-GB"/>
        </w:rPr>
        <w:t xml:space="preserve"> showed low</w:t>
      </w:r>
      <w:r w:rsidR="009A7D06" w:rsidRPr="00A34CD9">
        <w:rPr>
          <w:rFonts w:cstheme="minorHAnsi"/>
          <w:lang w:val="en-GB"/>
        </w:rPr>
        <w:t xml:space="preserve"> and moderate</w:t>
      </w:r>
      <w:r w:rsidR="00B17BC7" w:rsidRPr="00A34CD9">
        <w:rPr>
          <w:rFonts w:cstheme="minorHAnsi"/>
          <w:lang w:val="en-GB"/>
        </w:rPr>
        <w:t xml:space="preserve"> values of relative risk</w:t>
      </w:r>
      <w:r w:rsidR="009A7D06" w:rsidRPr="00A34CD9">
        <w:rPr>
          <w:rFonts w:cstheme="minorHAnsi"/>
          <w:lang w:val="en-GB"/>
        </w:rPr>
        <w:t>, LTL</w:t>
      </w:r>
      <w:r w:rsidR="00DE5CC2" w:rsidRPr="00A34CD9">
        <w:rPr>
          <w:rFonts w:cstheme="minorHAnsi"/>
          <w:lang w:val="en-GB"/>
        </w:rPr>
        <w:t xml:space="preserve"> mostly showed moderate values with </w:t>
      </w:r>
      <w:r w:rsidR="0004393D" w:rsidRPr="00A34CD9">
        <w:rPr>
          <w:rFonts w:cstheme="minorHAnsi"/>
          <w:lang w:val="en-GB"/>
        </w:rPr>
        <w:t xml:space="preserve">a small number of cells showing high potential risk. Spatially, </w:t>
      </w:r>
      <w:r w:rsidR="00C525E3" w:rsidRPr="00A34CD9">
        <w:rPr>
          <w:rFonts w:cstheme="minorHAnsi"/>
          <w:lang w:val="en-GB"/>
        </w:rPr>
        <w:t xml:space="preserve">the maps evidenced that, for both metiers </w:t>
      </w:r>
      <w:r w:rsidR="00F2469D" w:rsidRPr="00A34CD9">
        <w:rPr>
          <w:rFonts w:cstheme="minorHAnsi"/>
          <w:lang w:val="en-GB"/>
        </w:rPr>
        <w:t>the</w:t>
      </w:r>
      <w:r w:rsidR="008A2589" w:rsidRPr="00A34CD9">
        <w:rPr>
          <w:rFonts w:cstheme="minorHAnsi"/>
          <w:lang w:val="en-GB"/>
        </w:rPr>
        <w:t xml:space="preserve"> cells scored as moderate risk dominated the area</w:t>
      </w:r>
      <w:r w:rsidR="004F06E4" w:rsidRPr="00A34CD9">
        <w:rPr>
          <w:rFonts w:cstheme="minorHAnsi"/>
          <w:lang w:val="en-GB"/>
        </w:rPr>
        <w:t>.</w:t>
      </w:r>
      <w:r w:rsidR="00646DE7" w:rsidRPr="00A34CD9">
        <w:rPr>
          <w:rFonts w:cstheme="minorHAnsi"/>
          <w:lang w:val="en-GB"/>
        </w:rPr>
        <w:t xml:space="preserve"> </w:t>
      </w:r>
      <w:r w:rsidR="008C289D" w:rsidRPr="00A34CD9">
        <w:rPr>
          <w:rFonts w:cstheme="minorHAnsi"/>
          <w:lang w:val="en-GB"/>
        </w:rPr>
        <w:t>W</w:t>
      </w:r>
      <w:r w:rsidR="00646DE7" w:rsidRPr="00A34CD9">
        <w:rPr>
          <w:rFonts w:cstheme="minorHAnsi"/>
          <w:lang w:val="en-GB"/>
        </w:rPr>
        <w:t>h</w:t>
      </w:r>
      <w:r w:rsidR="005A420D" w:rsidRPr="00A34CD9">
        <w:rPr>
          <w:rFonts w:cstheme="minorHAnsi"/>
          <w:lang w:val="en-GB"/>
        </w:rPr>
        <w:t>ereas</w:t>
      </w:r>
      <w:r w:rsidR="00646DE7" w:rsidRPr="00A34CD9">
        <w:rPr>
          <w:rFonts w:cstheme="minorHAnsi"/>
          <w:lang w:val="en-GB"/>
        </w:rPr>
        <w:t xml:space="preserve"> </w:t>
      </w:r>
      <w:r w:rsidR="003E4B27" w:rsidRPr="00A34CD9">
        <w:rPr>
          <w:rFonts w:cstheme="minorHAnsi"/>
          <w:lang w:val="en-GB"/>
        </w:rPr>
        <w:t>LHP</w:t>
      </w:r>
      <w:r w:rsidR="004F2E8C" w:rsidRPr="00A34CD9">
        <w:rPr>
          <w:rFonts w:cstheme="minorHAnsi"/>
          <w:lang w:val="en-GB"/>
        </w:rPr>
        <w:t xml:space="preserve"> </w:t>
      </w:r>
      <w:r w:rsidR="007366EA" w:rsidRPr="00A34CD9">
        <w:rPr>
          <w:rFonts w:cstheme="minorHAnsi"/>
          <w:lang w:val="en-GB"/>
        </w:rPr>
        <w:t xml:space="preserve">maps </w:t>
      </w:r>
      <w:r w:rsidR="004F2E8C" w:rsidRPr="00A34CD9">
        <w:rPr>
          <w:rFonts w:cstheme="minorHAnsi"/>
          <w:lang w:val="en-GB"/>
        </w:rPr>
        <w:t>showed cells scor</w:t>
      </w:r>
      <w:r w:rsidR="00006204" w:rsidRPr="00A34CD9">
        <w:rPr>
          <w:rFonts w:cstheme="minorHAnsi"/>
          <w:lang w:val="en-GB"/>
        </w:rPr>
        <w:t>ed</w:t>
      </w:r>
      <w:r w:rsidR="004F2E8C" w:rsidRPr="00A34CD9">
        <w:rPr>
          <w:rFonts w:cstheme="minorHAnsi"/>
          <w:lang w:val="en-GB"/>
        </w:rPr>
        <w:t xml:space="preserve"> as low risk specially in th</w:t>
      </w:r>
      <w:r w:rsidR="009E4A93" w:rsidRPr="00A34CD9">
        <w:rPr>
          <w:rFonts w:cstheme="minorHAnsi"/>
          <w:lang w:val="en-GB"/>
        </w:rPr>
        <w:t>e southern</w:t>
      </w:r>
      <w:r w:rsidR="007E69DA" w:rsidRPr="00A34CD9">
        <w:rPr>
          <w:rFonts w:cstheme="minorHAnsi"/>
          <w:lang w:val="en-GB"/>
        </w:rPr>
        <w:t xml:space="preserve"> and </w:t>
      </w:r>
      <w:r w:rsidR="00107CFF" w:rsidRPr="00A34CD9">
        <w:rPr>
          <w:rFonts w:cstheme="minorHAnsi"/>
          <w:lang w:val="en-GB"/>
        </w:rPr>
        <w:t>south-eastern</w:t>
      </w:r>
      <w:r w:rsidR="009E4A93" w:rsidRPr="00A34CD9">
        <w:rPr>
          <w:rFonts w:cstheme="minorHAnsi"/>
          <w:lang w:val="en-GB"/>
        </w:rPr>
        <w:t xml:space="preserve"> part of the study area</w:t>
      </w:r>
      <w:r w:rsidR="007E69DA" w:rsidRPr="00A34CD9">
        <w:rPr>
          <w:rFonts w:cstheme="minorHAnsi"/>
          <w:lang w:val="en-GB"/>
        </w:rPr>
        <w:t>, LTL</w:t>
      </w:r>
      <w:r w:rsidR="00006204" w:rsidRPr="00A34CD9">
        <w:rPr>
          <w:rFonts w:cstheme="minorHAnsi"/>
          <w:lang w:val="en-GB"/>
        </w:rPr>
        <w:t xml:space="preserve"> </w:t>
      </w:r>
      <w:r w:rsidR="007366EA" w:rsidRPr="00A34CD9">
        <w:rPr>
          <w:rFonts w:cstheme="minorHAnsi"/>
          <w:lang w:val="en-GB"/>
        </w:rPr>
        <w:t xml:space="preserve">maps </w:t>
      </w:r>
      <w:r w:rsidR="00006204" w:rsidRPr="00A34CD9">
        <w:rPr>
          <w:rFonts w:cstheme="minorHAnsi"/>
          <w:lang w:val="en-GB"/>
        </w:rPr>
        <w:t xml:space="preserve">showed </w:t>
      </w:r>
      <w:r w:rsidR="0058315A" w:rsidRPr="00A34CD9">
        <w:rPr>
          <w:rFonts w:cstheme="minorHAnsi"/>
          <w:lang w:val="en-GB"/>
        </w:rPr>
        <w:t xml:space="preserve">scattered </w:t>
      </w:r>
      <w:r w:rsidR="009D3126" w:rsidRPr="00A34CD9">
        <w:rPr>
          <w:rFonts w:cstheme="minorHAnsi"/>
          <w:lang w:val="en-GB"/>
        </w:rPr>
        <w:t>high-risk</w:t>
      </w:r>
      <w:r w:rsidR="0058315A" w:rsidRPr="00A34CD9">
        <w:rPr>
          <w:rFonts w:cstheme="minorHAnsi"/>
          <w:lang w:val="en-GB"/>
        </w:rPr>
        <w:t xml:space="preserve"> cells</w:t>
      </w:r>
      <w:r w:rsidR="00006204" w:rsidRPr="00A34CD9">
        <w:rPr>
          <w:rFonts w:cstheme="minorHAnsi"/>
          <w:lang w:val="en-GB"/>
        </w:rPr>
        <w:t xml:space="preserve"> over </w:t>
      </w:r>
      <w:r w:rsidR="00FF155A" w:rsidRPr="00A34CD9">
        <w:rPr>
          <w:rFonts w:cstheme="minorHAnsi"/>
          <w:lang w:val="en-GB"/>
        </w:rPr>
        <w:t xml:space="preserve">the Armorican slope and adjacent waters. </w:t>
      </w:r>
    </w:p>
    <w:p w14:paraId="646B3D67" w14:textId="7A2420D6" w:rsidR="005B3F1B" w:rsidRPr="00A34CD9" w:rsidRDefault="005B3F1B" w:rsidP="002A528E">
      <w:pPr>
        <w:pStyle w:val="Ttulo1"/>
        <w:numPr>
          <w:ilvl w:val="0"/>
          <w:numId w:val="3"/>
        </w:numPr>
        <w:suppressLineNumbers/>
        <w:spacing w:line="360" w:lineRule="auto"/>
        <w:jc w:val="both"/>
        <w:rPr>
          <w:rFonts w:asciiTheme="minorHAnsi" w:hAnsiTheme="minorHAnsi" w:cstheme="minorHAnsi"/>
          <w:lang w:val="en-GB"/>
        </w:rPr>
      </w:pPr>
      <w:r w:rsidRPr="00A34CD9">
        <w:rPr>
          <w:rFonts w:asciiTheme="minorHAnsi" w:hAnsiTheme="minorHAnsi" w:cstheme="minorHAnsi"/>
          <w:lang w:val="en-GB"/>
        </w:rPr>
        <w:t>DISCUSSION</w:t>
      </w:r>
    </w:p>
    <w:p w14:paraId="3C409B10" w14:textId="712970B2" w:rsidR="0036642A" w:rsidRPr="00A34CD9" w:rsidRDefault="007E6C00" w:rsidP="002A528E">
      <w:pPr>
        <w:suppressLineNumbers/>
        <w:spacing w:line="480" w:lineRule="auto"/>
        <w:jc w:val="both"/>
        <w:rPr>
          <w:rFonts w:cstheme="minorHAnsi"/>
          <w:lang w:val="en-GB"/>
        </w:rPr>
      </w:pPr>
      <w:r w:rsidRPr="00A34CD9">
        <w:rPr>
          <w:rFonts w:cstheme="minorHAnsi"/>
          <w:lang w:val="en-GB"/>
        </w:rPr>
        <w:t xml:space="preserve">Conservation concern posed by </w:t>
      </w:r>
      <w:r w:rsidR="00901757" w:rsidRPr="00A34CD9">
        <w:rPr>
          <w:rFonts w:cstheme="minorHAnsi"/>
          <w:lang w:val="en-GB"/>
        </w:rPr>
        <w:t>fisheries-bycatch</w:t>
      </w:r>
      <w:r w:rsidR="00196621" w:rsidRPr="00A34CD9">
        <w:rPr>
          <w:rFonts w:cstheme="minorHAnsi"/>
          <w:lang w:val="en-GB"/>
        </w:rPr>
        <w:t xml:space="preserve"> </w:t>
      </w:r>
      <w:r w:rsidR="00C262C4" w:rsidRPr="00A34CD9">
        <w:rPr>
          <w:rFonts w:cstheme="minorHAnsi"/>
          <w:lang w:val="en-GB"/>
        </w:rPr>
        <w:t>ha</w:t>
      </w:r>
      <w:r w:rsidR="002D37F9" w:rsidRPr="00A34CD9">
        <w:rPr>
          <w:rFonts w:cstheme="minorHAnsi"/>
          <w:lang w:val="en-GB"/>
        </w:rPr>
        <w:t>s</w:t>
      </w:r>
      <w:r w:rsidR="00C262C4" w:rsidRPr="00A34CD9">
        <w:rPr>
          <w:rFonts w:cstheme="minorHAnsi"/>
          <w:lang w:val="en-GB"/>
        </w:rPr>
        <w:t xml:space="preserve"> led to </w:t>
      </w:r>
      <w:r w:rsidR="0009784C" w:rsidRPr="00A34CD9">
        <w:rPr>
          <w:rFonts w:cstheme="minorHAnsi"/>
          <w:lang w:val="en-GB"/>
        </w:rPr>
        <w:t>set up</w:t>
      </w:r>
      <w:r w:rsidR="00C262C4" w:rsidRPr="00A34CD9">
        <w:rPr>
          <w:rFonts w:cstheme="minorHAnsi"/>
          <w:lang w:val="en-GB"/>
        </w:rPr>
        <w:t xml:space="preserve"> major</w:t>
      </w:r>
      <w:r w:rsidR="001005D1" w:rsidRPr="00A34CD9">
        <w:rPr>
          <w:rFonts w:cstheme="minorHAnsi"/>
          <w:lang w:val="en-GB"/>
        </w:rPr>
        <w:t xml:space="preserve"> </w:t>
      </w:r>
      <w:r w:rsidR="006E1FDF" w:rsidRPr="00A34CD9">
        <w:rPr>
          <w:rFonts w:cstheme="minorHAnsi"/>
          <w:lang w:val="en-GB"/>
        </w:rPr>
        <w:t xml:space="preserve">management and mitigation measures to reduce </w:t>
      </w:r>
      <w:r w:rsidR="006113A6" w:rsidRPr="00A34CD9">
        <w:rPr>
          <w:rFonts w:cstheme="minorHAnsi"/>
          <w:lang w:val="en-GB"/>
        </w:rPr>
        <w:t xml:space="preserve">species mortality </w:t>
      </w:r>
      <w:r w:rsidR="00A66759" w:rsidRPr="00A34CD9">
        <w:rPr>
          <w:rFonts w:cstheme="minorHAnsi"/>
          <w:lang w:val="en-GB"/>
        </w:rPr>
        <w:t xml:space="preserve">and improve the survival of discarded individuals </w:t>
      </w:r>
      <w:r w:rsidR="00A8717A" w:rsidRPr="00A34CD9">
        <w:rPr>
          <w:rFonts w:cstheme="minorHAnsi"/>
          <w:lang w:val="en-GB"/>
        </w:rPr>
        <w:t>while maintaining fisheries</w:t>
      </w:r>
      <w:r w:rsidR="009D6439" w:rsidRPr="00A34CD9">
        <w:rPr>
          <w:rFonts w:cstheme="minorHAnsi"/>
          <w:lang w:val="en-GB"/>
        </w:rPr>
        <w:t xml:space="preserve"> profitability</w:t>
      </w:r>
      <w:r w:rsidR="00A8717A" w:rsidRPr="00A34CD9">
        <w:rPr>
          <w:rFonts w:cstheme="minorHAnsi"/>
          <w:lang w:val="en-GB"/>
        </w:rPr>
        <w:t xml:space="preserve">. </w:t>
      </w:r>
      <w:r w:rsidR="009F1647" w:rsidRPr="00A34CD9">
        <w:rPr>
          <w:rFonts w:cstheme="minorHAnsi"/>
          <w:lang w:val="en-GB"/>
        </w:rPr>
        <w:t>However</w:t>
      </w:r>
      <w:r w:rsidR="00A8717A" w:rsidRPr="00A34CD9">
        <w:rPr>
          <w:rFonts w:cstheme="minorHAnsi"/>
          <w:lang w:val="en-GB"/>
        </w:rPr>
        <w:t>, the understanding of their extent and magnitude, as well as their spatial patterns is a necessary first step to direct conservation actions</w:t>
      </w:r>
      <w:r w:rsidR="009B744F" w:rsidRPr="00A34CD9">
        <w:rPr>
          <w:rFonts w:cstheme="minorHAnsi"/>
          <w:lang w:val="en-GB"/>
        </w:rPr>
        <w:t xml:space="preserve"> where needed</w:t>
      </w:r>
      <w:r w:rsidR="00A8717A" w:rsidRPr="00A34CD9">
        <w:rPr>
          <w:rFonts w:cstheme="minorHAnsi"/>
          <w:lang w:val="en-GB"/>
        </w:rPr>
        <w:t xml:space="preserve"> (Lewison </w:t>
      </w:r>
      <w:r w:rsidR="00A8717A" w:rsidRPr="00A34CD9">
        <w:rPr>
          <w:rFonts w:cstheme="minorHAnsi"/>
          <w:i/>
          <w:iCs/>
          <w:lang w:val="en-GB"/>
        </w:rPr>
        <w:t>et al.</w:t>
      </w:r>
      <w:r w:rsidR="00A8717A" w:rsidRPr="00A34CD9">
        <w:rPr>
          <w:rFonts w:cstheme="minorHAnsi"/>
          <w:lang w:val="en-GB"/>
        </w:rPr>
        <w:t>, 2014).</w:t>
      </w:r>
      <w:r w:rsidR="00FB16CB" w:rsidRPr="00A34CD9">
        <w:rPr>
          <w:rFonts w:cstheme="minorHAnsi"/>
          <w:lang w:val="en-GB"/>
        </w:rPr>
        <w:t xml:space="preserve"> </w:t>
      </w:r>
      <w:r w:rsidR="006E2996" w:rsidRPr="00A34CD9">
        <w:rPr>
          <w:rFonts w:cstheme="minorHAnsi"/>
          <w:lang w:val="en-GB"/>
        </w:rPr>
        <w:t>Ecological risk assessment</w:t>
      </w:r>
      <w:r w:rsidR="0043788C" w:rsidRPr="00A34CD9">
        <w:rPr>
          <w:rFonts w:cstheme="minorHAnsi"/>
          <w:lang w:val="en-GB"/>
        </w:rPr>
        <w:t>s</w:t>
      </w:r>
      <w:r w:rsidR="000046E2" w:rsidRPr="00A34CD9">
        <w:rPr>
          <w:rFonts w:cstheme="minorHAnsi"/>
          <w:lang w:val="en-GB"/>
        </w:rPr>
        <w:t>, such as ERAEF, are</w:t>
      </w:r>
      <w:r w:rsidR="006E2996" w:rsidRPr="00A34CD9">
        <w:rPr>
          <w:rFonts w:cstheme="minorHAnsi"/>
          <w:lang w:val="en-GB"/>
        </w:rPr>
        <w:t xml:space="preserve"> increasingly popular method</w:t>
      </w:r>
      <w:r w:rsidR="00714279" w:rsidRPr="00A34CD9">
        <w:rPr>
          <w:rFonts w:cstheme="minorHAnsi"/>
          <w:lang w:val="en-GB"/>
        </w:rPr>
        <w:t>s</w:t>
      </w:r>
      <w:r w:rsidR="006E2996" w:rsidRPr="00A34CD9">
        <w:rPr>
          <w:rFonts w:cstheme="minorHAnsi"/>
          <w:lang w:val="en-GB"/>
        </w:rPr>
        <w:t xml:space="preserve"> used for assessing the potential vulnerability of species impacted directly, or indirectly, by fisheries. </w:t>
      </w:r>
      <w:r w:rsidR="00F3087D" w:rsidRPr="00A34CD9">
        <w:rPr>
          <w:rFonts w:cstheme="minorHAnsi"/>
          <w:lang w:val="en-GB"/>
        </w:rPr>
        <w:t>I</w:t>
      </w:r>
      <w:r w:rsidR="005F6107" w:rsidRPr="00A34CD9">
        <w:rPr>
          <w:rFonts w:cstheme="minorHAnsi"/>
          <w:lang w:val="en-GB"/>
        </w:rPr>
        <w:t xml:space="preserve">n the </w:t>
      </w:r>
      <w:proofErr w:type="spellStart"/>
      <w:r w:rsidR="005F6107" w:rsidRPr="00A34CD9">
        <w:rPr>
          <w:rFonts w:cstheme="minorHAnsi"/>
          <w:lang w:val="en-GB"/>
        </w:rPr>
        <w:t>BoB</w:t>
      </w:r>
      <w:proofErr w:type="spellEnd"/>
      <w:r w:rsidR="005F6107" w:rsidRPr="00A34CD9">
        <w:rPr>
          <w:rFonts w:cstheme="minorHAnsi"/>
          <w:lang w:val="en-GB"/>
        </w:rPr>
        <w:t xml:space="preserve"> </w:t>
      </w:r>
      <w:r w:rsidR="00F3087D" w:rsidRPr="00A34CD9">
        <w:rPr>
          <w:rFonts w:cstheme="minorHAnsi"/>
          <w:lang w:val="en-GB"/>
        </w:rPr>
        <w:t>several</w:t>
      </w:r>
      <w:r w:rsidR="00C37B70" w:rsidRPr="00A34CD9">
        <w:rPr>
          <w:rFonts w:cstheme="minorHAnsi"/>
          <w:lang w:val="en-GB"/>
        </w:rPr>
        <w:t xml:space="preserve"> studies </w:t>
      </w:r>
      <w:r w:rsidR="0027548E" w:rsidRPr="00A34CD9">
        <w:rPr>
          <w:rFonts w:cstheme="minorHAnsi"/>
          <w:lang w:val="en-GB"/>
        </w:rPr>
        <w:t>aimed to perform</w:t>
      </w:r>
      <w:r w:rsidR="00C37B70" w:rsidRPr="00A34CD9">
        <w:rPr>
          <w:rFonts w:cstheme="minorHAnsi"/>
          <w:lang w:val="en-GB"/>
        </w:rPr>
        <w:t xml:space="preserve"> </w:t>
      </w:r>
      <w:r w:rsidR="00A67298" w:rsidRPr="00A34CD9">
        <w:rPr>
          <w:rFonts w:cstheme="minorHAnsi"/>
          <w:lang w:val="en-GB"/>
        </w:rPr>
        <w:t xml:space="preserve">ecological </w:t>
      </w:r>
      <w:r w:rsidR="00C37B70" w:rsidRPr="00A34CD9">
        <w:rPr>
          <w:rFonts w:cstheme="minorHAnsi"/>
          <w:lang w:val="en-GB"/>
        </w:rPr>
        <w:t>risk assessment</w:t>
      </w:r>
      <w:r w:rsidR="00643FA5" w:rsidRPr="00A34CD9">
        <w:rPr>
          <w:rFonts w:cstheme="minorHAnsi"/>
          <w:lang w:val="en-GB"/>
        </w:rPr>
        <w:t>s</w:t>
      </w:r>
      <w:r w:rsidR="0027548E" w:rsidRPr="00A34CD9">
        <w:rPr>
          <w:rFonts w:cstheme="minorHAnsi"/>
          <w:lang w:val="en-GB"/>
        </w:rPr>
        <w:t>, albeit</w:t>
      </w:r>
      <w:r w:rsidR="00C37B70" w:rsidRPr="00A34CD9">
        <w:rPr>
          <w:rFonts w:cstheme="minorHAnsi"/>
          <w:lang w:val="en-GB"/>
        </w:rPr>
        <w:t xml:space="preserve"> </w:t>
      </w:r>
      <w:r w:rsidR="00F8153F" w:rsidRPr="00A34CD9">
        <w:rPr>
          <w:rFonts w:cstheme="minorHAnsi"/>
          <w:lang w:val="en-GB"/>
        </w:rPr>
        <w:t>focused in the short-beaked common dolphin (</w:t>
      </w:r>
      <w:r w:rsidR="00F8153F" w:rsidRPr="00A34CD9">
        <w:rPr>
          <w:rFonts w:cstheme="minorHAnsi"/>
          <w:i/>
          <w:iCs/>
          <w:lang w:val="en-GB"/>
        </w:rPr>
        <w:t xml:space="preserve">Delphinus </w:t>
      </w:r>
      <w:proofErr w:type="spellStart"/>
      <w:r w:rsidR="00F8153F" w:rsidRPr="00A34CD9">
        <w:rPr>
          <w:rFonts w:cstheme="minorHAnsi"/>
          <w:i/>
          <w:iCs/>
          <w:lang w:val="en-GB"/>
        </w:rPr>
        <w:t>delphis</w:t>
      </w:r>
      <w:proofErr w:type="spellEnd"/>
      <w:r w:rsidR="00643FA5" w:rsidRPr="00A34CD9">
        <w:rPr>
          <w:rFonts w:cstheme="minorHAnsi"/>
          <w:lang w:val="en-GB"/>
        </w:rPr>
        <w:t xml:space="preserve">; </w:t>
      </w:r>
      <w:r w:rsidR="005E415B" w:rsidRPr="00A34CD9">
        <w:rPr>
          <w:rFonts w:cstheme="minorHAnsi"/>
          <w:lang w:val="en-GB"/>
        </w:rPr>
        <w:fldChar w:fldCharType="begin" w:fldLock="1"/>
      </w:r>
      <w:r w:rsidR="00C05FA4" w:rsidRPr="00A34CD9">
        <w:rPr>
          <w:rFonts w:cstheme="minorHAnsi"/>
          <w:lang w:val="en-GB"/>
        </w:rPr>
        <w:instrText>ADDIN CSL_CITATION {"citationItems":[{"id":"ITEM-1","itemData":{"DOI":"10.1371/journal.pone.0032615","ISBN":"1932-6203","ISSN":"19326203","PMID":"22393423","abstract":"Fisheries interactions have been implicated in the decline of many marine vertebrates worldwide. In the eastern North Atlantic, at least 1000 common dolphins (Delphinus delphis) are bycaught each year, particularly in pelagic pair-trawls. We have assessed the resulting impact of bycatch on this population using a demographic modeling approach. We relied on a sample of females stranded along the French Atlantic and western Channel coasts. Strandings represent an extensive source of demographic information to monitor our study population. Necropsy analysis provided an estimate of individual age and reproductive state. Then we estimated effective survivorship (including natural and human-induced mortality), age at first reproduction and pregnancy rates. Reproductive parameters were consistent with literature, but effective survivorship was unexpectedly low. Demographic parameters were then used as inputs in two models. A constant parameter matrix proposed an effective growth rate of -5.5±0.5%, corresponding to the current situation (including bycatch mortality). Subsequently, deterministic projections suggested that the population would be reduced to 20% of its current size in 30 years and would be extinct in 100 years. The demographic invariant model suggested a maximum growth rate of +4.5±0.09%, corresponding to the optimal demographic situation. Then, a risk analysis incorporating Potential Biological Removal (PBR), based on two plausible scenarii for stock structure suggested that bycatch level was unsustainable for the neritic population of the Bay of Biscay under a two-stock scenario. In depth assessment of stock structure and improved observer programs to provide scientifically robust bycatch estimates are needed. Effective conservation measures would be reducing bycatch to less than 50% of the current level in the neritic stock to reach PBR. Our approach provided indicators of the status and trajectory of the common dolphin population in the eastern North Atlantic and therefore proved to be a valuable tool for management, applicable to other dolphin populations.","author":[{"dropping-particle":"","family":"Mannocci","given":"Laura","non-dropping-particle":"","parse-names":false,"suffix":""},{"dropping-particle":"","family":"Dabin","given":"Willy","non-dropping-particle":"","parse-names":false,"suffix":""},{"dropping-particle":"","family":"Augeraud-Véron","given":"Emmanuelle","non-dropping-particle":"","parse-names":false,"suffix":""},{"dropping-particle":"","family":"Dupuy","given":"Jean François","non-dropping-particle":"","parse-names":false,"suffix":""},{"dropping-particle":"","family":"Barbraud","given":"Christophe","non-dropping-particle":"","parse-names":false,"suffix":""},{"dropping-particle":"","family":"Ridoux","given":"Vincent","non-dropping-particle":"","parse-names":false,"suffix":""}],"container-title":"PLoS ONE","editor":[{"dropping-particle":"","family":"Reina","given":"Richard","non-dropping-particle":"","parse-names":false,"suffix":""}],"id":"ITEM-1","issue":"2","issued":{"date-parts":[["2012","2","29"]]},"page":"e32615","publisher":"Public Library of Science","title":"Assessing the impact of bycatch on dolphin populations: The case of the common dolphin in the Eastern North Atlantic","type":"article-journal","volume":"7"},"uris":["http://www.mendeley.com/documents/?uuid=a14d9b52-4fba-3a19-a2a5-3503d8ec1399"]},{"id":"ITEM-2","itemData":{"DOI":"10.1016/j.envsci.2016.05.004","ISSN":"18736416","abstract":"Death in fishing gear of non-target species (called 'bycatch') is a major concern for marine wildlife, and mostly worrying for long-lived species like cetaceans, considering their demographic characteristics (slow population growth rates and low fecundity). In European waters, cetaceans are highly impacted by this phenomenon. Under the Common Fishery Policy, the EC 812/2004 regulation constitutes a legal frame for bycatch monitoring on 5-10% of fishing vessels &gt;15 m. The aim of this work was to compare parameters and bycatch estimates of common dolphins (Delphinus delphis) provided by observer programmes in France and UK national reports and those inferred from stranding data, through two approaches. Bycatch was estimated from stranding data, first by correcting effectives from drift conditions (using a drift prediction model) and then by estimating the probability of being buoyant. Observer programmes on fishing vessels allowed us to identify the specificity of the interaction between common dolphins and fishing gear, and provided low estimates of annual bycaught animals (around 550 animals year-1). However, observer programmes are hindered by logistical and administrative constraints, and the sampling scheme seems to be poorly designed for the detection of marine mammal bycatches. The analyses of strandings by considering drift conditions highlighted areas with high levels of interactions between common dolphins and fisheries. Since 1997, the highest densities of bycaught dolphins at sea were located in the southern part of the continental shelf and slope of the Bay of Biscay. Bycatch numbers inferred from strandings suggested very high levels, ranging from 3650 dolphins year-1 [2250-7000] to 4700 [3850-5750] dolphins year-1, depending on methodological choices. The main advantage of stranding data is its large spatial scale, cutting across administrative boundaries. Diverging estimates between observer programmes and stranding interpretation can set very different management consequences: observer programmes suggest a sustainable situation for common dolphins, whereas estimates based on strandings highlight a very worrying and unsustainable process.","author":[{"dropping-particle":"","family":"Peltier","given":"Hélène","non-dropping-particle":"","parse-names":false,"suffix":""},{"dropping-particle":"","family":"Authier","given":"Matthieu","non-dropping-particle":"","parse-names":false,"suffix":""},{"dropping-particle":"","family":"Deaville","given":"Rob","non-dropping-particle":"","parse-names":false,"suffix":""},{"dropping-particle":"","family":"Dabin","given":"Willy","non-dropping-particle":"","parse-names":false,"suffix":""},{"dropping-particle":"","family":"Jepson","given":"Paul D.","non-dropping-particle":"","parse-names":false,"suffix":""},{"dropping-particle":"","family":"Canneyt","given":"Olivier","non-dropping-particle":"van","parse-names":false,"suffix":""},{"dropping-particle":"","family":"Daniel","given":"Pierre","non-dropping-particle":"","parse-names":false,"suffix":""},{"dropping-particle":"","family":"Ridoux","given":"Vincent","non-dropping-particle":"","parse-names":false,"suffix":""}],"container-title":"Environmental Science and Policy","id":"ITEM-2","issued":{"date-parts":[["2016"]]},"page":"7-18","title":"Small cetacean bycatch as estimated from stranding schemes: The common dolphin case in the northeast Atlantic","type":"article-journal","volume":"63"},"uris":["http://www.mendeley.com/documents/?uuid=e0bd5b21-bd38-46cc-a4ea-35f76e123c20"]},{"id":"ITEM-3","itemData":{"DOI":"10.3389/fmars.2021.617342","ISSN":"22967745","abstract":"The first Unusual Mortality Event (UME) related to fishing activity along the Atlantic coast recorded by the French Stranding Network was in 1989: 697 small delphinids, mostly common dolphins, washed ashore, most of them with evidence of having been bycaught. Since then, UMEs of common dolphins have been observed nearly every year in the Bay of Biscay; unprecedented records were broken every year since 2016. The low and unequally distributed observation efforts aboard fishing vessels in the Bay of Biscay, as well as the lack of data on foreign fisheries necessitated the use of complementary data (such as stranding data) to elucidate the involvement of fisheries in dolphin bycatch. The aim of this work was to identify positive spatial and temporal correlations between the likely origins of bycaught stranded common dolphins (estimated from a mechanistic drift model) and fishing effort statistics inferred from Vessel Monitoring System (VMS) data on vessels &gt;12 m long. Fisheries whose effort correlated positively with dolphin mortality areas after 2016 included French midwater trawlers, French Danish seiners, French gillnetters, French trammel netters, Spanish bottom trawlers, and Spanish gillnetters. For the French fleet only, logbook declarations, sales, and surveys carried out by Ifremer were integrated into fishing effort data. Six fleets were active in common dolphin bycatch areas at least twice between 2016 and 2019: gillnetters fishing hake, trammel netters fishing anglerfish, bottom pair trawlers fishing hake, midwater pair trawlers fishing sea bass and hake, and Danish seiners fishing whiting. Except for changes in hake landings in some fisheries, there were no notable changes in total fishing effort practice (gear or target species) based on the data required by the ICES and Council of the European Union that could explain the large increase in stranded common dolphins recorded along the French Atlantic coast after 2016. Small scale or unrecorded changes could have modified interactions between common dolphins and fisheries, but could not be detected through mandatory data-calls. The recent increase in strandings of bycaught common dolphins could have been caused by changes in their distribution and/or ecology, or changes in fishery practices that were undetectable through available data.","author":[{"dropping-particle":"","family":"Peltier","given":"Helene","non-dropping-particle":"","parse-names":false,"suffix":""},{"dropping-particle":"","family":"Authier","given":"Matthieu","non-dropping-particle":"","parse-names":false,"suffix":""},{"dropping-particle":"","family":"Caurant","given":"Florence","non-dropping-particle":"","parse-names":false,"suffix":""},{"dropping-particle":"","family":"Dabin","given":"Willy","non-dropping-particle":"","parse-names":false,"suffix":""},{"dropping-particle":"","family":"Daniel","given":"Pierre","non-dropping-particle":"","parse-names":false,"suffix":""},{"dropping-particle":"","family":"Dars","given":"Cecile","non-dropping-particle":"","parse-names":false,"suffix":""},{"dropping-particle":"","family":"Demaret","given":"Fabien","non-dropping-particle":"","parse-names":false,"suffix":""},{"dropping-particle":"","family":"Meheust","given":"Eleonore","non-dropping-particle":"","parse-names":false,"suffix":""},{"dropping-particle":"","family":"Canneyt","given":"Olivier","non-dropping-particle":"Van","parse-names":false,"suffix":""},{"dropping-particle":"","family":"Spitz","given":"Jerome","non-dropping-particle":"","parse-names":false,"suffix":""},{"dropping-particle":"","family":"Ridoux","given":"Vincent","non-dropping-particle":"","parse-names":false,"suffix":""}],"container-title":"Frontiers in Marine Science","id":"ITEM-3","issue":"April","issued":{"date-parts":[["2021"]]},"page":"1-17","title":"In the Wrong Place at the Wrong Time: Identifying Spatiotemporal Co-occurrence of Bycaught Common Dolphins and Fisheries in the Bay of Biscay (NE Atlantic) From 2010 to 2019","type":"article-journal","volume":"8"},"uris":["http://www.mendeley.com/documents/?uuid=6cfdbf97-8fd9-4802-8d44-a598ba571d42"]}],"mendeley":{"formattedCitation":"(Mannocci &lt;i&gt;et al.&lt;/i&gt;, 2012; Peltier &lt;i&gt;et al.&lt;/i&gt;, 2016, 2021)","manualFormatting":"Mannocci et al., 2012; Peltier et al., 2016, 2021)","plainTextFormattedCitation":"(Mannocci et al., 2012; Peltier et al., 2016, 2021)","previouslyFormattedCitation":"(Mannocci &lt;i&gt;et al.&lt;/i&gt;, 2012; Peltier &lt;i&gt;et al.&lt;/i&gt;, 2016, 2021)"},"properties":{"noteIndex":0},"schema":"https://github.com/citation-style-language/schema/raw/master/csl-citation.json"}</w:instrText>
      </w:r>
      <w:r w:rsidR="005E415B" w:rsidRPr="00A34CD9">
        <w:rPr>
          <w:rFonts w:cstheme="minorHAnsi"/>
          <w:lang w:val="en-GB"/>
        </w:rPr>
        <w:fldChar w:fldCharType="separate"/>
      </w:r>
      <w:r w:rsidR="00604684" w:rsidRPr="00A34CD9">
        <w:rPr>
          <w:rFonts w:cstheme="minorHAnsi"/>
          <w:noProof/>
          <w:lang w:val="en-GB"/>
        </w:rPr>
        <w:t xml:space="preserve">Mannocci </w:t>
      </w:r>
      <w:r w:rsidR="00604684" w:rsidRPr="00A34CD9">
        <w:rPr>
          <w:rFonts w:cstheme="minorHAnsi"/>
          <w:i/>
          <w:noProof/>
          <w:lang w:val="en-GB"/>
        </w:rPr>
        <w:t>et al.</w:t>
      </w:r>
      <w:r w:rsidR="00604684" w:rsidRPr="00A34CD9">
        <w:rPr>
          <w:rFonts w:cstheme="minorHAnsi"/>
          <w:noProof/>
          <w:lang w:val="en-GB"/>
        </w:rPr>
        <w:t xml:space="preserve">, 2012; Peltier </w:t>
      </w:r>
      <w:r w:rsidR="00604684" w:rsidRPr="00A34CD9">
        <w:rPr>
          <w:rFonts w:cstheme="minorHAnsi"/>
          <w:i/>
          <w:noProof/>
          <w:lang w:val="en-GB"/>
        </w:rPr>
        <w:t>et al.</w:t>
      </w:r>
      <w:r w:rsidR="00604684" w:rsidRPr="00A34CD9">
        <w:rPr>
          <w:rFonts w:cstheme="minorHAnsi"/>
          <w:noProof/>
          <w:lang w:val="en-GB"/>
        </w:rPr>
        <w:t>, 2016, 2021)</w:t>
      </w:r>
      <w:r w:rsidR="005E415B" w:rsidRPr="00A34CD9">
        <w:rPr>
          <w:rFonts w:cstheme="minorHAnsi"/>
          <w:lang w:val="en-GB"/>
        </w:rPr>
        <w:fldChar w:fldCharType="end"/>
      </w:r>
      <w:r w:rsidR="006F3A3B" w:rsidRPr="00A34CD9">
        <w:rPr>
          <w:rFonts w:cstheme="minorHAnsi"/>
          <w:lang w:val="en-GB"/>
        </w:rPr>
        <w:t xml:space="preserve"> whilst to </w:t>
      </w:r>
      <w:r w:rsidR="005951DF" w:rsidRPr="00A34CD9">
        <w:rPr>
          <w:rFonts w:cstheme="minorHAnsi"/>
          <w:lang w:val="en-GB"/>
        </w:rPr>
        <w:t xml:space="preserve">the best of </w:t>
      </w:r>
      <w:r w:rsidR="006F3A3B" w:rsidRPr="00A34CD9">
        <w:rPr>
          <w:rFonts w:cstheme="minorHAnsi"/>
          <w:lang w:val="en-GB"/>
        </w:rPr>
        <w:t>our knowledge</w:t>
      </w:r>
      <w:r w:rsidR="00643FA5" w:rsidRPr="00A34CD9">
        <w:rPr>
          <w:rFonts w:cstheme="minorHAnsi"/>
          <w:lang w:val="en-GB"/>
        </w:rPr>
        <w:t>,</w:t>
      </w:r>
      <w:r w:rsidR="002B436D" w:rsidRPr="00A34CD9">
        <w:rPr>
          <w:rFonts w:cstheme="minorHAnsi"/>
          <w:lang w:val="en-GB"/>
        </w:rPr>
        <w:t xml:space="preserve"> </w:t>
      </w:r>
      <w:r w:rsidR="0027548E" w:rsidRPr="00A34CD9">
        <w:rPr>
          <w:rFonts w:cstheme="minorHAnsi"/>
          <w:lang w:val="en-GB"/>
        </w:rPr>
        <w:t>this paper</w:t>
      </w:r>
      <w:r w:rsidR="00643FA5" w:rsidRPr="00A34CD9">
        <w:rPr>
          <w:rFonts w:cstheme="minorHAnsi"/>
          <w:lang w:val="en-GB"/>
        </w:rPr>
        <w:t xml:space="preserve"> represents the first </w:t>
      </w:r>
      <w:r w:rsidR="0027548E" w:rsidRPr="00A34CD9">
        <w:rPr>
          <w:rFonts w:cstheme="minorHAnsi"/>
          <w:lang w:val="en-GB"/>
        </w:rPr>
        <w:t xml:space="preserve">attempt </w:t>
      </w:r>
      <w:r w:rsidR="00643FA5" w:rsidRPr="00A34CD9">
        <w:rPr>
          <w:rFonts w:cstheme="minorHAnsi"/>
          <w:lang w:val="en-GB"/>
        </w:rPr>
        <w:t xml:space="preserve">to </w:t>
      </w:r>
      <w:r w:rsidR="002C377F" w:rsidRPr="00A34CD9">
        <w:rPr>
          <w:rFonts w:cstheme="minorHAnsi"/>
          <w:lang w:val="en-GB"/>
        </w:rPr>
        <w:t>perform a</w:t>
      </w:r>
      <w:r w:rsidR="006A30C5" w:rsidRPr="00A34CD9">
        <w:rPr>
          <w:rFonts w:cstheme="minorHAnsi"/>
          <w:lang w:val="en-GB"/>
        </w:rPr>
        <w:t>n</w:t>
      </w:r>
      <w:r w:rsidR="002C377F" w:rsidRPr="00A34CD9">
        <w:rPr>
          <w:rFonts w:cstheme="minorHAnsi"/>
          <w:lang w:val="en-GB"/>
        </w:rPr>
        <w:t xml:space="preserve"> </w:t>
      </w:r>
      <w:r w:rsidR="00BA467D" w:rsidRPr="00A34CD9">
        <w:rPr>
          <w:rFonts w:cstheme="minorHAnsi"/>
          <w:lang w:val="en-GB"/>
        </w:rPr>
        <w:t xml:space="preserve">ecological </w:t>
      </w:r>
      <w:r w:rsidR="002C377F" w:rsidRPr="00A34CD9">
        <w:rPr>
          <w:rFonts w:cstheme="minorHAnsi"/>
          <w:lang w:val="en-GB"/>
        </w:rPr>
        <w:t xml:space="preserve">risk assessment </w:t>
      </w:r>
      <w:r w:rsidR="00817F7A" w:rsidRPr="00A34CD9">
        <w:rPr>
          <w:rFonts w:cstheme="minorHAnsi"/>
          <w:lang w:val="en-GB"/>
        </w:rPr>
        <w:t>for a seabird</w:t>
      </w:r>
      <w:r w:rsidR="00391F35" w:rsidRPr="00A34CD9">
        <w:rPr>
          <w:rFonts w:cstheme="minorHAnsi"/>
          <w:lang w:val="en-GB"/>
        </w:rPr>
        <w:t xml:space="preserve"> </w:t>
      </w:r>
      <w:r w:rsidR="00817F7A" w:rsidRPr="00A34CD9">
        <w:rPr>
          <w:rFonts w:cstheme="minorHAnsi"/>
          <w:lang w:val="en-GB"/>
        </w:rPr>
        <w:t>s</w:t>
      </w:r>
      <w:r w:rsidR="00391F35" w:rsidRPr="00A34CD9">
        <w:rPr>
          <w:rFonts w:cstheme="minorHAnsi"/>
          <w:lang w:val="en-GB"/>
        </w:rPr>
        <w:t>pecies</w:t>
      </w:r>
      <w:r w:rsidR="00817F7A" w:rsidRPr="00A34CD9">
        <w:rPr>
          <w:rFonts w:cstheme="minorHAnsi"/>
          <w:lang w:val="en-GB"/>
        </w:rPr>
        <w:t xml:space="preserve"> in the area</w:t>
      </w:r>
      <w:r w:rsidR="00396A15" w:rsidRPr="00A34CD9">
        <w:rPr>
          <w:rFonts w:cstheme="minorHAnsi"/>
          <w:lang w:val="en-GB"/>
        </w:rPr>
        <w:t xml:space="preserve"> aiming </w:t>
      </w:r>
      <w:r w:rsidR="007E0C5E" w:rsidRPr="00A34CD9">
        <w:rPr>
          <w:rFonts w:cstheme="minorHAnsi"/>
          <w:lang w:val="en-GB"/>
        </w:rPr>
        <w:t>to provide</w:t>
      </w:r>
      <w:r w:rsidR="00E307DE" w:rsidRPr="00A34CD9">
        <w:rPr>
          <w:rFonts w:cstheme="minorHAnsi"/>
          <w:lang w:val="en-GB"/>
        </w:rPr>
        <w:t xml:space="preserve"> new insights </w:t>
      </w:r>
      <w:r w:rsidR="00511CE8" w:rsidRPr="00A34CD9">
        <w:rPr>
          <w:rFonts w:cstheme="minorHAnsi"/>
          <w:lang w:val="en-GB"/>
        </w:rPr>
        <w:t xml:space="preserve">to implement conservation strategies </w:t>
      </w:r>
      <w:r w:rsidR="00D91C11" w:rsidRPr="00A34CD9">
        <w:rPr>
          <w:rFonts w:cstheme="minorHAnsi"/>
          <w:lang w:val="en-GB"/>
        </w:rPr>
        <w:t xml:space="preserve">and </w:t>
      </w:r>
      <w:r w:rsidR="00F5121C" w:rsidRPr="00A34CD9">
        <w:rPr>
          <w:rFonts w:cstheme="minorHAnsi"/>
          <w:lang w:val="en-GB"/>
        </w:rPr>
        <w:t xml:space="preserve">to inform </w:t>
      </w:r>
      <w:r w:rsidR="00791F92" w:rsidRPr="00A34CD9">
        <w:rPr>
          <w:rFonts w:cstheme="minorHAnsi"/>
          <w:lang w:val="en-GB"/>
        </w:rPr>
        <w:t>EBFM</w:t>
      </w:r>
      <w:r w:rsidR="00221BAE" w:rsidRPr="00A34CD9">
        <w:rPr>
          <w:rFonts w:cstheme="minorHAnsi"/>
          <w:lang w:val="en-GB"/>
        </w:rPr>
        <w:t xml:space="preserve"> and mitigation measures.</w:t>
      </w:r>
    </w:p>
    <w:p w14:paraId="4CFC2D75" w14:textId="37066E5F" w:rsidR="00FC7E74" w:rsidRPr="00A34CD9" w:rsidRDefault="00F72F9D" w:rsidP="002A528E">
      <w:pPr>
        <w:pStyle w:val="Prrafodelista"/>
        <w:numPr>
          <w:ilvl w:val="1"/>
          <w:numId w:val="3"/>
        </w:numPr>
        <w:suppressLineNumbers/>
        <w:spacing w:line="360" w:lineRule="auto"/>
        <w:jc w:val="both"/>
        <w:outlineLvl w:val="1"/>
        <w:rPr>
          <w:rFonts w:cstheme="minorHAnsi"/>
          <w:b/>
          <w:bCs/>
          <w:sz w:val="24"/>
          <w:szCs w:val="24"/>
          <w:lang w:val="en-GB"/>
        </w:rPr>
      </w:pPr>
      <w:proofErr w:type="spellStart"/>
      <w:r w:rsidRPr="00A34CD9">
        <w:rPr>
          <w:rFonts w:cstheme="minorHAnsi"/>
          <w:b/>
          <w:bCs/>
          <w:sz w:val="24"/>
          <w:szCs w:val="24"/>
          <w:lang w:val="en-GB"/>
        </w:rPr>
        <w:t>Spatio</w:t>
      </w:r>
      <w:proofErr w:type="spellEnd"/>
      <w:r w:rsidRPr="00A34CD9">
        <w:rPr>
          <w:rFonts w:cstheme="minorHAnsi"/>
          <w:b/>
          <w:bCs/>
          <w:sz w:val="24"/>
          <w:szCs w:val="24"/>
          <w:lang w:val="en-GB"/>
        </w:rPr>
        <w:t>-temporal patterns of s</w:t>
      </w:r>
      <w:r w:rsidR="00E73021" w:rsidRPr="00A34CD9">
        <w:rPr>
          <w:rFonts w:cstheme="minorHAnsi"/>
          <w:b/>
          <w:bCs/>
          <w:sz w:val="24"/>
          <w:szCs w:val="24"/>
          <w:lang w:val="en-GB"/>
        </w:rPr>
        <w:t xml:space="preserve">pecies </w:t>
      </w:r>
      <w:r w:rsidR="00807EB8" w:rsidRPr="00A34CD9">
        <w:rPr>
          <w:rFonts w:cstheme="minorHAnsi"/>
          <w:b/>
          <w:bCs/>
          <w:sz w:val="24"/>
          <w:szCs w:val="24"/>
          <w:lang w:val="en-GB"/>
        </w:rPr>
        <w:t xml:space="preserve">abundance </w:t>
      </w:r>
      <w:r w:rsidR="00E73021" w:rsidRPr="00A34CD9">
        <w:rPr>
          <w:rFonts w:cstheme="minorHAnsi"/>
          <w:b/>
          <w:bCs/>
          <w:sz w:val="24"/>
          <w:szCs w:val="24"/>
          <w:lang w:val="en-GB"/>
        </w:rPr>
        <w:t xml:space="preserve">and </w:t>
      </w:r>
      <w:r w:rsidR="00474994" w:rsidRPr="00A34CD9">
        <w:rPr>
          <w:rFonts w:cstheme="minorHAnsi"/>
          <w:b/>
          <w:bCs/>
          <w:sz w:val="24"/>
          <w:szCs w:val="24"/>
          <w:lang w:val="en-GB"/>
        </w:rPr>
        <w:t>f</w:t>
      </w:r>
      <w:r w:rsidR="00E73021" w:rsidRPr="00A34CD9">
        <w:rPr>
          <w:rFonts w:cstheme="minorHAnsi"/>
          <w:b/>
          <w:bCs/>
          <w:sz w:val="24"/>
          <w:szCs w:val="24"/>
          <w:lang w:val="en-GB"/>
        </w:rPr>
        <w:t>isher</w:t>
      </w:r>
      <w:r w:rsidR="00807EB8" w:rsidRPr="00A34CD9">
        <w:rPr>
          <w:rFonts w:cstheme="minorHAnsi"/>
          <w:b/>
          <w:bCs/>
          <w:sz w:val="24"/>
          <w:szCs w:val="24"/>
          <w:lang w:val="en-GB"/>
        </w:rPr>
        <w:t>ies activity</w:t>
      </w:r>
    </w:p>
    <w:p w14:paraId="216CAF76" w14:textId="0586FA7E" w:rsidR="00A50E13" w:rsidRPr="00A34CD9" w:rsidRDefault="00075EFE" w:rsidP="002A528E">
      <w:pPr>
        <w:suppressLineNumbers/>
        <w:spacing w:line="480" w:lineRule="auto"/>
        <w:jc w:val="both"/>
        <w:rPr>
          <w:rFonts w:cstheme="minorHAnsi"/>
          <w:lang w:val="en-GB"/>
        </w:rPr>
      </w:pPr>
      <w:r w:rsidRPr="00A34CD9">
        <w:rPr>
          <w:rFonts w:cstheme="minorHAnsi"/>
          <w:lang w:val="en-GB"/>
        </w:rPr>
        <w:t xml:space="preserve">The spatial </w:t>
      </w:r>
      <w:r w:rsidR="005A73DA" w:rsidRPr="00A34CD9">
        <w:rPr>
          <w:rFonts w:cstheme="minorHAnsi"/>
          <w:lang w:val="en-GB"/>
        </w:rPr>
        <w:t>density</w:t>
      </w:r>
      <w:r w:rsidRPr="00A34CD9">
        <w:rPr>
          <w:rFonts w:cstheme="minorHAnsi"/>
          <w:lang w:val="en-GB"/>
        </w:rPr>
        <w:t xml:space="preserve"> of great shearwaters w</w:t>
      </w:r>
      <w:r w:rsidR="006A7257" w:rsidRPr="00A34CD9">
        <w:rPr>
          <w:rFonts w:cstheme="minorHAnsi"/>
          <w:lang w:val="en-GB"/>
        </w:rPr>
        <w:t>as</w:t>
      </w:r>
      <w:r w:rsidRPr="00A34CD9">
        <w:rPr>
          <w:rFonts w:cstheme="minorHAnsi"/>
          <w:lang w:val="en-GB"/>
        </w:rPr>
        <w:t xml:space="preserve"> mainly driven by the d</w:t>
      </w:r>
      <w:r w:rsidR="005815D7" w:rsidRPr="00A34CD9">
        <w:rPr>
          <w:rFonts w:cstheme="minorHAnsi"/>
          <w:lang w:val="en-GB"/>
        </w:rPr>
        <w:t>istance to the coast</w:t>
      </w:r>
      <w:r w:rsidRPr="00A34CD9">
        <w:rPr>
          <w:rFonts w:cstheme="minorHAnsi"/>
          <w:lang w:val="en-GB"/>
        </w:rPr>
        <w:t>,</w:t>
      </w:r>
      <w:r w:rsidR="005815D7" w:rsidRPr="00A34CD9">
        <w:rPr>
          <w:rFonts w:cstheme="minorHAnsi"/>
          <w:lang w:val="en-GB"/>
        </w:rPr>
        <w:t xml:space="preserve"> </w:t>
      </w:r>
      <w:r w:rsidR="003619D6" w:rsidRPr="00A34CD9">
        <w:rPr>
          <w:rFonts w:cstheme="minorHAnsi"/>
          <w:lang w:val="en-GB"/>
        </w:rPr>
        <w:t>highlighting offshore waters as the preferred habitat for the species</w:t>
      </w:r>
      <w:r w:rsidR="00D94C17" w:rsidRPr="00A34CD9">
        <w:rPr>
          <w:rFonts w:cstheme="minorHAnsi"/>
          <w:lang w:val="en-GB"/>
        </w:rPr>
        <w:t xml:space="preserve">. </w:t>
      </w:r>
      <w:r w:rsidR="008966D5" w:rsidRPr="00A34CD9">
        <w:rPr>
          <w:rFonts w:cstheme="minorHAnsi"/>
          <w:lang w:val="en-GB"/>
        </w:rPr>
        <w:t xml:space="preserve">In </w:t>
      </w:r>
      <w:r w:rsidR="00D40D00" w:rsidRPr="00A34CD9">
        <w:rPr>
          <w:rFonts w:cstheme="minorHAnsi"/>
          <w:lang w:val="en-GB"/>
        </w:rPr>
        <w:t xml:space="preserve">accordance with </w:t>
      </w:r>
      <w:r w:rsidR="008966D5" w:rsidRPr="00A34CD9">
        <w:rPr>
          <w:rFonts w:cstheme="minorHAnsi"/>
          <w:lang w:val="en-GB"/>
        </w:rPr>
        <w:fldChar w:fldCharType="begin" w:fldLock="1"/>
      </w:r>
      <w:r w:rsidR="00A279EB" w:rsidRPr="00A34CD9">
        <w:rPr>
          <w:rFonts w:cstheme="minorHAnsi"/>
          <w:lang w:val="en-GB"/>
        </w:rPr>
        <w:instrText>ADDIN CSL_CITATION {"citationItems":[{"id":"ITEM-1","itemData":{"DOI":"10.1016/j.dsr2.2016.11.008","ISBN":"0967-0645","ISSN":"09670645","abstract":"A B S T R A C T Scientific investigation in offshore areas are logistically challenging and expensive, therefore the available knowledge on seabird at sea distribution and abundance, as well as their seasonal variations, remains limited. To investigate the seasonal variability in seabird distribution and abundance in the North-Western Mediterranean Sea (NWMS), we conducted two large-scale aerial surveys in winter 2011–12 and summer 2012, covering a 181,400 km 2 area. Following a strip-transect method, observers recorded a total of 4141 seabird sightings in winter and 2334 in summer, along 32,213 km. Using geostatistical methods, we generated sightings density maps for both seasons, as well as estimates of density and abundance. Most taxa showed seasonal variations in their density and distribution patterns, as they used the area either for wintering or for breeding. Highest densities of seabirds were recorded during winter, although large-sized shearwaters, storm petrels and terns were more abundant during summer. Consequently, with nearly 170,000 seabirds estimated in winter, the total abundance was twice higher in winter. Coastal waters of the continental shelf were generally more exploited by seabirds, even though some species, such as Mediterranean gulls, black-headed gulls, little gulls and storm petrels were found at high densities in highly offshore waters. Our results revealed areas highly exploited by the seabird community in the NWMS, such as the Gulf of Lion, the Tuscan region, and the area between Corsica and Sardinia. In addition, these large-scale surveys provide a baseline for the monitoring of seabird at sea distribution, and could inform the EU Marine Strategy Framework Directive.","author":[{"dropping-particle":"","family":"Pettex","given":"E","non-dropping-particle":"","parse-names":false,"suffix":""},{"dropping-particle":"","family":"Laran","given":"S.","non-dropping-particle":"","parse-names":false,"suffix":""},{"dropping-particle":"","family":"Authier","given":"M","non-dropping-particle":"","parse-names":false,"suffix":""},{"dropping-particle":"","family":"Blanck","given":"A","non-dropping-particle":"","parse-names":false,"suffix":""},{"dropping-particle":"","family":"Dorémus","given":"G.","non-dropping-particle":"","parse-names":false,"suffix":""},{"dropping-particle":"","family":"Falchetto","given":"H.","non-dropping-particle":"","parse-names":false,"suffix":""},{"dropping-particle":"","family":"Lambert","given":"C.","non-dropping-particle":"","parse-names":false,"suffix":""},{"dropping-particle":"","family":"Monestiez","given":"P.","non-dropping-particle":"","parse-names":false,"suffix":""},{"dropping-particle":"","family":"Stéfan","given":"E.","non-dropping-particle":"","parse-names":false,"suffix":""},{"dropping-particle":"","family":"Canneyt","given":"O.","non-dropping-particle":"Van","parse-names":false,"suffix":""},{"dropping-particle":"","family":"Ridoux","given":"V.","non-dropping-particle":"","parse-names":false,"suffix":""}],"container-title":"Deep Sea Research","id":"ITEM-1","issued":{"date-parts":[["2017"]]},"page":"86-101","publisher":"Elsevier","title":"Using large scale surveys to investigate seasonal variations in seabird distribution and abundance. Part II: The Bay of Biscay and the English Channel","type":"article-journal","volume":"141"},"uris":["http://www.mendeley.com/documents/?uuid=8099af2d-86ad-4d91-9043-3cf7673bcdb6"]}],"mendeley":{"formattedCitation":"(Pettex &lt;i&gt;et al.&lt;/i&gt;, 2017)","manualFormatting":"Pettex et al. (2017)","plainTextFormattedCitation":"(Pettex et al., 2017)","previouslyFormattedCitation":"(Pettex &lt;i&gt;et al.&lt;/i&gt;, 2017)"},"properties":{"noteIndex":0},"schema":"https://github.com/citation-style-language/schema/raw/master/csl-citation.json"}</w:instrText>
      </w:r>
      <w:r w:rsidR="008966D5" w:rsidRPr="00A34CD9">
        <w:rPr>
          <w:rFonts w:cstheme="minorHAnsi"/>
          <w:lang w:val="en-GB"/>
        </w:rPr>
        <w:fldChar w:fldCharType="separate"/>
      </w:r>
      <w:r w:rsidR="008966D5" w:rsidRPr="00A34CD9">
        <w:rPr>
          <w:rFonts w:cstheme="minorHAnsi"/>
          <w:noProof/>
          <w:lang w:val="en-GB"/>
        </w:rPr>
        <w:t xml:space="preserve">Pettex </w:t>
      </w:r>
      <w:r w:rsidR="008966D5" w:rsidRPr="00A34CD9">
        <w:rPr>
          <w:rFonts w:cstheme="minorHAnsi"/>
          <w:i/>
          <w:noProof/>
          <w:lang w:val="en-GB"/>
        </w:rPr>
        <w:t>et al.</w:t>
      </w:r>
      <w:r w:rsidR="008966D5" w:rsidRPr="00A34CD9">
        <w:rPr>
          <w:rFonts w:cstheme="minorHAnsi"/>
          <w:noProof/>
          <w:lang w:val="en-GB"/>
        </w:rPr>
        <w:t xml:space="preserve"> (2017)</w:t>
      </w:r>
      <w:r w:rsidR="008966D5" w:rsidRPr="00A34CD9">
        <w:rPr>
          <w:rFonts w:cstheme="minorHAnsi"/>
          <w:lang w:val="en-GB"/>
        </w:rPr>
        <w:fldChar w:fldCharType="end"/>
      </w:r>
      <w:r w:rsidR="008966D5" w:rsidRPr="00A34CD9">
        <w:rPr>
          <w:rFonts w:cstheme="minorHAnsi"/>
          <w:lang w:val="en-GB"/>
        </w:rPr>
        <w:t xml:space="preserve"> and </w:t>
      </w:r>
      <w:r w:rsidR="00C34FA5" w:rsidRPr="00A34CD9">
        <w:rPr>
          <w:rFonts w:cstheme="minorHAnsi"/>
          <w:lang w:val="en-GB"/>
        </w:rPr>
        <w:t xml:space="preserve">Louzao </w:t>
      </w:r>
      <w:r w:rsidR="00C34FA5" w:rsidRPr="00A34CD9">
        <w:rPr>
          <w:rFonts w:cstheme="minorHAnsi"/>
          <w:i/>
          <w:iCs/>
          <w:lang w:val="en-GB"/>
        </w:rPr>
        <w:t>et al.</w:t>
      </w:r>
      <w:r w:rsidR="00C34FA5" w:rsidRPr="00A34CD9">
        <w:rPr>
          <w:rFonts w:cstheme="minorHAnsi"/>
          <w:lang w:val="en-GB"/>
        </w:rPr>
        <w:t xml:space="preserve"> (2019)</w:t>
      </w:r>
      <w:r w:rsidR="00190CB0" w:rsidRPr="00A34CD9">
        <w:rPr>
          <w:rFonts w:cstheme="minorHAnsi"/>
          <w:lang w:val="en-GB"/>
        </w:rPr>
        <w:t>,</w:t>
      </w:r>
      <w:r w:rsidR="00B673AC" w:rsidRPr="00A34CD9">
        <w:rPr>
          <w:rFonts w:cstheme="minorHAnsi"/>
          <w:lang w:val="en-GB"/>
        </w:rPr>
        <w:t xml:space="preserve"> the </w:t>
      </w:r>
      <w:r w:rsidR="00344471" w:rsidRPr="00A34CD9">
        <w:rPr>
          <w:rFonts w:cstheme="minorHAnsi"/>
          <w:lang w:val="en-GB"/>
        </w:rPr>
        <w:t xml:space="preserve">northern </w:t>
      </w:r>
      <w:r w:rsidR="007334FC" w:rsidRPr="00A34CD9">
        <w:rPr>
          <w:rFonts w:cstheme="minorHAnsi"/>
          <w:lang w:val="en-GB"/>
        </w:rPr>
        <w:t xml:space="preserve">Armorican </w:t>
      </w:r>
      <w:r w:rsidR="00B673AC" w:rsidRPr="00A34CD9">
        <w:rPr>
          <w:rFonts w:cstheme="minorHAnsi"/>
          <w:lang w:val="en-GB"/>
        </w:rPr>
        <w:t>slope</w:t>
      </w:r>
      <w:r w:rsidR="00FA6426" w:rsidRPr="00A34CD9">
        <w:rPr>
          <w:rFonts w:cstheme="minorHAnsi"/>
          <w:lang w:val="en-GB"/>
        </w:rPr>
        <w:t xml:space="preserve"> in French waters</w:t>
      </w:r>
      <w:r w:rsidR="00657982" w:rsidRPr="00A34CD9">
        <w:rPr>
          <w:rFonts w:cstheme="minorHAnsi"/>
          <w:lang w:val="en-GB"/>
        </w:rPr>
        <w:t xml:space="preserve"> </w:t>
      </w:r>
      <w:r w:rsidR="00677789" w:rsidRPr="00A34CD9">
        <w:rPr>
          <w:rFonts w:cstheme="minorHAnsi"/>
          <w:lang w:val="en-GB"/>
        </w:rPr>
        <w:t>and</w:t>
      </w:r>
      <w:r w:rsidR="00BA3B05" w:rsidRPr="00A34CD9">
        <w:rPr>
          <w:rFonts w:cstheme="minorHAnsi"/>
          <w:lang w:val="en-GB"/>
        </w:rPr>
        <w:t xml:space="preserve"> </w:t>
      </w:r>
      <w:r w:rsidR="00AF7722" w:rsidRPr="00A34CD9">
        <w:rPr>
          <w:rFonts w:cstheme="minorHAnsi"/>
          <w:lang w:val="en-GB"/>
        </w:rPr>
        <w:t>offshore</w:t>
      </w:r>
      <w:r w:rsidR="00B772AE" w:rsidRPr="00A34CD9">
        <w:rPr>
          <w:rFonts w:cstheme="minorHAnsi"/>
          <w:lang w:val="en-GB"/>
        </w:rPr>
        <w:t xml:space="preserve"> water</w:t>
      </w:r>
      <w:r w:rsidR="009B5DC6" w:rsidRPr="00A34CD9">
        <w:rPr>
          <w:rFonts w:cstheme="minorHAnsi"/>
          <w:lang w:val="en-GB"/>
        </w:rPr>
        <w:t>s</w:t>
      </w:r>
      <w:r w:rsidR="00B772AE" w:rsidRPr="00A34CD9">
        <w:rPr>
          <w:rFonts w:cstheme="minorHAnsi"/>
          <w:lang w:val="en-GB"/>
        </w:rPr>
        <w:t xml:space="preserve"> of the </w:t>
      </w:r>
      <w:r w:rsidR="00425134" w:rsidRPr="00A34CD9">
        <w:rPr>
          <w:rFonts w:cstheme="minorHAnsi"/>
          <w:lang w:val="en-GB"/>
        </w:rPr>
        <w:t>Spanish</w:t>
      </w:r>
      <w:r w:rsidR="00B772AE" w:rsidRPr="00A34CD9">
        <w:rPr>
          <w:rFonts w:cstheme="minorHAnsi"/>
          <w:lang w:val="en-GB"/>
        </w:rPr>
        <w:t xml:space="preserve"> </w:t>
      </w:r>
      <w:r w:rsidR="001A5543" w:rsidRPr="00A34CD9">
        <w:rPr>
          <w:rFonts w:cstheme="minorHAnsi"/>
          <w:lang w:val="en-GB"/>
        </w:rPr>
        <w:t xml:space="preserve">sector </w:t>
      </w:r>
      <w:r w:rsidR="00B772AE" w:rsidRPr="00A34CD9">
        <w:rPr>
          <w:rFonts w:cstheme="minorHAnsi"/>
          <w:lang w:val="en-GB"/>
        </w:rPr>
        <w:t xml:space="preserve">supported the highest </w:t>
      </w:r>
      <w:r w:rsidR="00425134" w:rsidRPr="00A34CD9">
        <w:rPr>
          <w:rFonts w:cstheme="minorHAnsi"/>
          <w:lang w:val="en-GB"/>
        </w:rPr>
        <w:t>densities</w:t>
      </w:r>
      <w:r w:rsidR="00B772AE" w:rsidRPr="00A34CD9">
        <w:rPr>
          <w:rFonts w:cstheme="minorHAnsi"/>
          <w:lang w:val="en-GB"/>
        </w:rPr>
        <w:t xml:space="preserve"> of the species.</w:t>
      </w:r>
      <w:r w:rsidR="00162070" w:rsidRPr="00A34CD9">
        <w:rPr>
          <w:rFonts w:cstheme="minorHAnsi"/>
          <w:lang w:val="en-GB"/>
        </w:rPr>
        <w:t xml:space="preserve"> </w:t>
      </w:r>
      <w:r w:rsidR="00A66515" w:rsidRPr="00A34CD9">
        <w:rPr>
          <w:rFonts w:cstheme="minorHAnsi"/>
          <w:lang w:val="en-GB"/>
        </w:rPr>
        <w:t>Along</w:t>
      </w:r>
      <w:r w:rsidR="00AF1E07" w:rsidRPr="00A34CD9">
        <w:rPr>
          <w:rFonts w:cstheme="minorHAnsi"/>
          <w:lang w:val="en-GB"/>
        </w:rPr>
        <w:t xml:space="preserve"> the </w:t>
      </w:r>
      <w:r w:rsidR="009A55E9" w:rsidRPr="00A34CD9">
        <w:rPr>
          <w:rFonts w:cstheme="minorHAnsi"/>
          <w:lang w:val="en-GB"/>
        </w:rPr>
        <w:t xml:space="preserve">shelf edge (e.g. </w:t>
      </w:r>
      <w:r w:rsidR="00AF1E07" w:rsidRPr="00A34CD9">
        <w:rPr>
          <w:rFonts w:cstheme="minorHAnsi"/>
          <w:lang w:val="en-GB"/>
        </w:rPr>
        <w:t>Armorican slope</w:t>
      </w:r>
      <w:r w:rsidR="009A55E9" w:rsidRPr="00A34CD9">
        <w:rPr>
          <w:rFonts w:cstheme="minorHAnsi"/>
          <w:lang w:val="en-GB"/>
        </w:rPr>
        <w:t>)</w:t>
      </w:r>
      <w:r w:rsidR="00F43300" w:rsidRPr="00A34CD9">
        <w:rPr>
          <w:rFonts w:cstheme="minorHAnsi"/>
          <w:lang w:val="en-GB"/>
        </w:rPr>
        <w:t>,</w:t>
      </w:r>
      <w:r w:rsidR="00AF1E07" w:rsidRPr="00A34CD9">
        <w:rPr>
          <w:rFonts w:cstheme="minorHAnsi"/>
          <w:lang w:val="en-GB"/>
        </w:rPr>
        <w:t xml:space="preserve"> </w:t>
      </w:r>
      <w:r w:rsidR="00F43300" w:rsidRPr="00A34CD9">
        <w:rPr>
          <w:rFonts w:cstheme="minorHAnsi"/>
          <w:lang w:val="en-GB"/>
        </w:rPr>
        <w:t xml:space="preserve">tides generate internal waves </w:t>
      </w:r>
      <w:r w:rsidR="00F43300" w:rsidRPr="00A34CD9">
        <w:rPr>
          <w:rFonts w:cstheme="minorHAnsi"/>
          <w:lang w:val="en-GB"/>
        </w:rPr>
        <w:lastRenderedPageBreak/>
        <w:t>that propagate both on- and off-shelf</w:t>
      </w:r>
      <w:r w:rsidR="00C764E2" w:rsidRPr="00A34CD9">
        <w:rPr>
          <w:rFonts w:cstheme="minorHAnsi"/>
          <w:lang w:val="en-GB"/>
        </w:rPr>
        <w:t xml:space="preserve"> </w:t>
      </w:r>
      <w:r w:rsidR="00195914" w:rsidRPr="00A34CD9">
        <w:rPr>
          <w:rFonts w:cstheme="minorHAnsi"/>
          <w:lang w:val="en-GB"/>
        </w:rPr>
        <w:fldChar w:fldCharType="begin" w:fldLock="1"/>
      </w:r>
      <w:r w:rsidR="005E336E" w:rsidRPr="00A34CD9">
        <w:rPr>
          <w:rFonts w:cstheme="minorHAnsi"/>
          <w:lang w:val="en-GB"/>
        </w:rPr>
        <w:instrText>ADDIN CSL_CITATION {"citationItems":[{"id":"ITEM-1","itemData":{"DOI":"10.1016/j.csr.2009.10.008","ISSN":"02784343","abstract":"A regional baroclinic model forced with several tidal constituents at different frequencies is used to investigate the internal tide of the Bay of Biscay. The regional ocean model is free surface, sigma-coordinate and it is implemented in order to accurately take into account the barotropic forcing, the strong bathymetry gradients and the temperature and salinity stratifications. In a previous paper, the barotropic component of the tides was studied in details and the boundary conditions of the three-dimensional model were extracted from the atlases. In the present paper, we focus on the baroclinic component of the tides and the simulations are validated against observations from the MINT94 experiment. The observed currents and stratification are accurately reproduced by the model. The internal tide pattern is consistent with the descriptions found in the literature. Combining wavelet and principal component analysis we extract the patterns of generation and propagation of the internal tide at the semi-diurnal and quarter-diurnal frequencies. Secondary internal wave generation areas are identified over the plain. The vertical displacements of isopycnal surfaces for the M4 internal tide are found to be locally half those induced by the semi-diurnal internal tide. A sensitivity study shows the impact of using a three-dimensional initial stratification over the direction of propagation and wavelengths of the internal tides. © 2009 Elsevier Ltd. All rights reserved.","author":[{"dropping-particle":"","family":"Pairaud","given":"Ivane L.","non-dropping-particle":"","parse-names":false,"suffix":""},{"dropping-particle":"","family":"Auclair","given":"Francis","non-dropping-particle":"","parse-names":false,"suffix":""},{"dropping-particle":"","family":"Marsaleix","given":"Patrick","non-dropping-particle":"","parse-names":false,"suffix":""},{"dropping-particle":"","family":"Lyard","given":"Florent","non-dropping-particle":"","parse-names":false,"suffix":""},{"dropping-particle":"","family":"Pichon","given":"Annick","non-dropping-particle":"","parse-names":false,"suffix":""}],"container-title":"Continental Shelf Research","id":"ITEM-1","issue":"3-4","issued":{"date-parts":[["2010"]]},"page":"253-269","title":"Dynamics of the semi-diurnal and quarter-diurnal internal tides in the Bay of Biscay. Part 2: Baroclinic tides","type":"article-journal","volume":"30"},"uris":["http://www.mendeley.com/documents/?uuid=3edfe9d9-de50-3381-a3d4-57204d977c0b"]}],"mendeley":{"formattedCitation":"(Pairaud &lt;i&gt;et al.&lt;/i&gt;, 2010)","plainTextFormattedCitation":"(Pairaud et al., 2010)","previouslyFormattedCitation":"(Pairaud &lt;i&gt;et al.&lt;/i&gt;, 2010)"},"properties":{"noteIndex":0},"schema":"https://github.com/citation-style-language/schema/raw/master/csl-citation.json"}</w:instrText>
      </w:r>
      <w:r w:rsidR="00195914" w:rsidRPr="00A34CD9">
        <w:rPr>
          <w:rFonts w:cstheme="minorHAnsi"/>
          <w:lang w:val="en-GB"/>
        </w:rPr>
        <w:fldChar w:fldCharType="separate"/>
      </w:r>
      <w:r w:rsidR="003600F9" w:rsidRPr="00A34CD9">
        <w:rPr>
          <w:rFonts w:cstheme="minorHAnsi"/>
          <w:noProof/>
          <w:lang w:val="en-GB"/>
        </w:rPr>
        <w:t xml:space="preserve">(Pairaud </w:t>
      </w:r>
      <w:r w:rsidR="003600F9" w:rsidRPr="00A34CD9">
        <w:rPr>
          <w:rFonts w:cstheme="minorHAnsi"/>
          <w:i/>
          <w:noProof/>
          <w:lang w:val="en-GB"/>
        </w:rPr>
        <w:t>et al.</w:t>
      </w:r>
      <w:r w:rsidR="003600F9" w:rsidRPr="00A34CD9">
        <w:rPr>
          <w:rFonts w:cstheme="minorHAnsi"/>
          <w:noProof/>
          <w:lang w:val="en-GB"/>
        </w:rPr>
        <w:t>, 2010)</w:t>
      </w:r>
      <w:r w:rsidR="00195914" w:rsidRPr="00A34CD9">
        <w:rPr>
          <w:rFonts w:cstheme="minorHAnsi"/>
          <w:lang w:val="en-GB"/>
        </w:rPr>
        <w:fldChar w:fldCharType="end"/>
      </w:r>
      <w:r w:rsidR="00AD798C" w:rsidRPr="00A34CD9">
        <w:rPr>
          <w:rFonts w:cstheme="minorHAnsi"/>
          <w:lang w:val="en-GB"/>
        </w:rPr>
        <w:t xml:space="preserve">, </w:t>
      </w:r>
      <w:r w:rsidR="00A66515" w:rsidRPr="00A34CD9">
        <w:rPr>
          <w:rFonts w:cstheme="minorHAnsi"/>
          <w:lang w:val="en-GB"/>
        </w:rPr>
        <w:t>which</w:t>
      </w:r>
      <w:r w:rsidR="00570E94" w:rsidRPr="00A34CD9">
        <w:rPr>
          <w:rFonts w:cstheme="minorHAnsi"/>
          <w:lang w:val="en-GB"/>
        </w:rPr>
        <w:t xml:space="preserve"> </w:t>
      </w:r>
      <w:r w:rsidR="00F04A56" w:rsidRPr="00A34CD9">
        <w:rPr>
          <w:rFonts w:cstheme="minorHAnsi"/>
          <w:lang w:val="en-GB"/>
        </w:rPr>
        <w:t>seem</w:t>
      </w:r>
      <w:r w:rsidR="00570E94" w:rsidRPr="00A34CD9">
        <w:rPr>
          <w:rFonts w:cstheme="minorHAnsi"/>
          <w:lang w:val="en-GB"/>
        </w:rPr>
        <w:t xml:space="preserve"> to be responsible for significant mixing and nutrient upwelling at the </w:t>
      </w:r>
      <w:r w:rsidR="006E5699" w:rsidRPr="00A34CD9">
        <w:rPr>
          <w:rFonts w:cstheme="minorHAnsi"/>
          <w:lang w:val="en-GB"/>
        </w:rPr>
        <w:t>shelf-break</w:t>
      </w:r>
      <w:r w:rsidR="005324E7" w:rsidRPr="00A34CD9">
        <w:rPr>
          <w:rFonts w:cstheme="minorHAnsi"/>
          <w:lang w:val="en-GB"/>
        </w:rPr>
        <w:t>,</w:t>
      </w:r>
      <w:r w:rsidR="006E7F2C" w:rsidRPr="00A34CD9">
        <w:rPr>
          <w:rFonts w:cstheme="minorHAnsi"/>
          <w:lang w:val="en-GB"/>
        </w:rPr>
        <w:t xml:space="preserve"> </w:t>
      </w:r>
      <w:r w:rsidR="00570E94" w:rsidRPr="00A34CD9">
        <w:rPr>
          <w:rFonts w:cstheme="minorHAnsi"/>
          <w:lang w:val="en-GB"/>
        </w:rPr>
        <w:t>where they have their maximum intensity</w:t>
      </w:r>
      <w:r w:rsidR="005324E7" w:rsidRPr="00A34CD9">
        <w:rPr>
          <w:rFonts w:cstheme="minorHAnsi"/>
          <w:lang w:val="en-GB"/>
        </w:rPr>
        <w:t>,</w:t>
      </w:r>
      <w:r w:rsidR="00570E94" w:rsidRPr="00A34CD9">
        <w:rPr>
          <w:rFonts w:cstheme="minorHAnsi"/>
          <w:lang w:val="en-GB"/>
        </w:rPr>
        <w:t xml:space="preserve"> and thus their greatest impact on primary production</w:t>
      </w:r>
      <w:r w:rsidR="005324E7" w:rsidRPr="00A34CD9">
        <w:rPr>
          <w:rFonts w:cstheme="minorHAnsi"/>
          <w:lang w:val="en-GB"/>
        </w:rPr>
        <w:t xml:space="preserve"> </w:t>
      </w:r>
      <w:r w:rsidR="00771C4E" w:rsidRPr="00A34CD9">
        <w:rPr>
          <w:rFonts w:cstheme="minorHAnsi"/>
          <w:lang w:val="en-GB"/>
        </w:rPr>
        <w:fldChar w:fldCharType="begin" w:fldLock="1"/>
      </w:r>
      <w:r w:rsidR="005E336E" w:rsidRPr="00A34CD9">
        <w:rPr>
          <w:rFonts w:cstheme="minorHAnsi"/>
          <w:lang w:val="en-GB"/>
        </w:rPr>
        <w:instrText>ADDIN CSL_CITATION {"citationItems":[{"id":"ITEM-1","itemData":{"ISBN":"9780674021174","abstract":"The Bay of Biscay is an arm of the Atlantic Ocean, indenting the coast of W Europe from NW France (Offshore of Brittany) to NW Spain (Galicia). Traditionally the southern limit is considered to be Cape Ortegal in NW Spain, but in this contribution we follow the criterion of other authors (i.e. Sanchez and Olaso, 2004) that extends the southern limit up to Cape Finisterre, at 43 ‡ N latitude, in order to get a more consistent analysis of oceanographic, geomorphological and biological characteristics observed in the bay. The Bay of Biscay forms a fairly regular curve, broken on the French coast by the estuaries of the rivers (i.e. Loire and Gironde). The southeastern shore is straight and sandy whereas the Spanish coast is rugged and its northwest part is characterized by many large V-shaped coastal inlets (rias) (Evans and Prego, 2003). The area has been identified as a unit since Roman times, when it was called Sinus Aquitanicus, Sinus Cantabricus or Cantaber Oceanus. The coast has been inhabited since prehistoric times and nowadays the region supports an important population (Valdes and Lavin, 2002) with various noteworthy commercial and fishing ports (i.e. Brest, Nantes, Lorient, Saint Nazaire, La Rochelle and Bordeaux in France; Ondarroa, Bilbao, Santander, Gijón, Avilés and A Coruña in Spain)\"","author":[{"dropping-particle":"","family":"Lavín","given":"Alicia","non-dropping-particle":"","parse-names":false,"suffix":""},{"dropping-particle":"","family":"Valdés","given":"Luis","non-dropping-particle":"","parse-names":false,"suffix":""},{"dropping-particle":"","family":"Sánchez","given":"Francisco","non-dropping-particle":"","parse-names":false,"suffix":""},{"dropping-particle":"","family":"Abaunza","given":"Pablo","non-dropping-particle":"","parse-names":false,"suffix":""},{"dropping-particle":"","family":"Forest","given":"Andre","non-dropping-particle":"","parse-names":false,"suffix":""},{"dropping-particle":"","family":"Boucher","given":"Jean","non-dropping-particle":"","parse-names":false,"suffix":""},{"dropping-particle":"","family":"Lazure","given":"Pascal","non-dropping-particle":"","parse-names":false,"suffix":""},{"dropping-particle":"","family":"Jegou","given":"Anne-Marie","non-dropping-particle":"","parse-names":false,"suffix":""}],"container-title":"The Seas","editor":[{"dropping-particle":"","family":"Robinson","given":"A.R.","non-dropping-particle":"","parse-names":false,"suffix":""},{"dropping-particle":"","family":"Bring","given":"K.H.","non-dropping-particle":"","parse-names":false,"suffix":""}],"id":"ITEM-1","issued":{"date-parts":[["2006"]]},"page":"933-1001","publisher":"Harvard University Press","publisher-place":"Cambridge, UK","title":"The Bay of Biscay: the encountering of the ocean and the shelf","type":"chapter","volume":"14"},"uris":["http://www.mendeley.com/documents/?uuid=66d307ec-f398-3f8d-a8f0-b5520b121adf"]}],"mendeley":{"formattedCitation":"(Lavín &lt;i&gt;et al.&lt;/i&gt;, 2006)","plainTextFormattedCitation":"(Lavín et al., 2006)","previouslyFormattedCitation":"(Lavín &lt;i&gt;et al.&lt;/i&gt;, 2006)"},"properties":{"noteIndex":0},"schema":"https://github.com/citation-style-language/schema/raw/master/csl-citation.json"}</w:instrText>
      </w:r>
      <w:r w:rsidR="00771C4E" w:rsidRPr="00A34CD9">
        <w:rPr>
          <w:rFonts w:cstheme="minorHAnsi"/>
          <w:lang w:val="en-GB"/>
        </w:rPr>
        <w:fldChar w:fldCharType="separate"/>
      </w:r>
      <w:r w:rsidR="003600F9" w:rsidRPr="00A34CD9">
        <w:rPr>
          <w:rFonts w:cstheme="minorHAnsi"/>
          <w:noProof/>
          <w:lang w:val="en-GB"/>
        </w:rPr>
        <w:t xml:space="preserve">(Lavín </w:t>
      </w:r>
      <w:r w:rsidR="003600F9" w:rsidRPr="00A34CD9">
        <w:rPr>
          <w:rFonts w:cstheme="minorHAnsi"/>
          <w:i/>
          <w:noProof/>
          <w:lang w:val="en-GB"/>
        </w:rPr>
        <w:t>et al.</w:t>
      </w:r>
      <w:r w:rsidR="003600F9" w:rsidRPr="00A34CD9">
        <w:rPr>
          <w:rFonts w:cstheme="minorHAnsi"/>
          <w:noProof/>
          <w:lang w:val="en-GB"/>
        </w:rPr>
        <w:t>, 2006)</w:t>
      </w:r>
      <w:r w:rsidR="00771C4E" w:rsidRPr="00A34CD9">
        <w:rPr>
          <w:rFonts w:cstheme="minorHAnsi"/>
          <w:lang w:val="en-GB"/>
        </w:rPr>
        <w:fldChar w:fldCharType="end"/>
      </w:r>
      <w:r w:rsidR="00AD798C" w:rsidRPr="00A34CD9">
        <w:rPr>
          <w:rFonts w:cstheme="minorHAnsi"/>
          <w:lang w:val="en-GB"/>
        </w:rPr>
        <w:t>. C</w:t>
      </w:r>
      <w:r w:rsidR="00A05503" w:rsidRPr="00A34CD9">
        <w:rPr>
          <w:rFonts w:cstheme="minorHAnsi"/>
          <w:lang w:val="en-GB"/>
        </w:rPr>
        <w:t>onsequently</w:t>
      </w:r>
      <w:r w:rsidR="00AD798C" w:rsidRPr="00A34CD9">
        <w:rPr>
          <w:rFonts w:cstheme="minorHAnsi"/>
          <w:lang w:val="en-GB"/>
        </w:rPr>
        <w:t xml:space="preserve">, </w:t>
      </w:r>
      <w:r w:rsidR="00186A09" w:rsidRPr="00A34CD9">
        <w:rPr>
          <w:rFonts w:cstheme="minorHAnsi"/>
          <w:lang w:val="en-GB"/>
        </w:rPr>
        <w:t>these</w:t>
      </w:r>
      <w:r w:rsidR="00AD798C" w:rsidRPr="00A34CD9">
        <w:rPr>
          <w:rFonts w:cstheme="minorHAnsi"/>
          <w:lang w:val="en-GB"/>
        </w:rPr>
        <w:t xml:space="preserve"> areas aggregate </w:t>
      </w:r>
      <w:r w:rsidR="008F42D9" w:rsidRPr="00A34CD9">
        <w:rPr>
          <w:rFonts w:cstheme="minorHAnsi"/>
          <w:lang w:val="en-GB"/>
        </w:rPr>
        <w:t>small prey species</w:t>
      </w:r>
      <w:r w:rsidR="00A05503" w:rsidRPr="00A34CD9">
        <w:rPr>
          <w:rFonts w:cstheme="minorHAnsi"/>
          <w:lang w:val="en-GB"/>
        </w:rPr>
        <w:t xml:space="preserve"> </w:t>
      </w:r>
      <w:r w:rsidR="006D5B91" w:rsidRPr="00A34CD9">
        <w:rPr>
          <w:rFonts w:cstheme="minorHAnsi"/>
          <w:lang w:val="en-GB"/>
        </w:rPr>
        <w:fldChar w:fldCharType="begin" w:fldLock="1"/>
      </w:r>
      <w:r w:rsidR="005E336E" w:rsidRPr="00A34CD9">
        <w:rPr>
          <w:rFonts w:cstheme="minorHAnsi"/>
          <w:lang w:val="en-GB"/>
        </w:rPr>
        <w:instrText>ADDIN CSL_CITATION {"citationItems":[{"id":"ITEM-1","itemData":{"DOI":"10.3354/meps08552","ISSN":"01718630","abstract":"The foraging habitats of 7 species of marine apex predators were observed simultaneously in a shallow sea, with continuous measurements taken of the detailed bio-physical water column characteristics to determine habitat preferences. We found the occurrence of small-scale 'hotspots', where 50% of all animals were actively foraging in less than 5% of the 1000 km of transects surveyed. By investigating a contrasting range of foraging strategies across a variety of fish-eating seabirds and marine mammals, we determined which habitat characteristics were consistently important across species. A static habitat variable, tidal stratification, log(10)(h/U-3) (h = water depth, U = tidal current amplitude), was found to be the best indicator of the probability of presence and abundance of individual species. All 7 mobile top-predators preferentially foraged within habitats with small-scale (2 to 10 km) patches having (1) high concentrations of chlorophyll in the sub-surface chlorophyll maximum (CHLmax) and (2) high variance in bottom topography, with different species preferring to forage in different locations within these habitats. Patchiness of CHLmax was not associated with the locations of strong horizontal temperature gradients (fronts) or high surface chlorophyll values, but instead may be related to areas of high sub-surface primary production due to locally increased vertical mixing. These small-scale areas represent a newly identified class of spatially important location that may play a critical role within the trophic coupling of shallow seas. Such subsurface hotspots may represent the limited locations where the majority of predator-prey interactions occur, despite making up only a small percentage of the marine environment.","author":[{"dropping-particle":"","family":"Scott","given":"B. E.","non-dropping-particle":"","parse-names":false,"suffix":""},{"dropping-particle":"","family":"Sharples","given":"J","non-dropping-particle":"","parse-names":false,"suffix":""},{"dropping-particle":"","family":"Ross","given":"O. N.","non-dropping-particle":"","parse-names":false,"suffix":""},{"dropping-particle":"","family":"Wang","given":"J.","non-dropping-particle":"","parse-names":false,"suffix":""},{"dropping-particle":"","family":"Pierce","given":"G. J.","non-dropping-particle":"","parse-names":false,"suffix":""},{"dropping-particle":"","family":"Camphuysen","given":"C. J.","non-dropping-particle":"","parse-names":false,"suffix":""}],"container-title":"Marine Ecology Progress Series","id":"ITEM-1","issued":{"date-parts":[["2010"]]},"page":"207-226","title":"Sub-surface hotspots in shallow seas: Fine-scale limited locations of top predator foraging habitat indicated by tidal mixing and sub-surface chlorophyll","type":"article-journal","volume":"408"},"uris":["http://www.mendeley.com/documents/?uuid=9135316e-79e6-312f-a8bc-5c3e70412cc1"]}],"mendeley":{"formattedCitation":"(Scott &lt;i&gt;et al.&lt;/i&gt;, 2010)","plainTextFormattedCitation":"(Scott et al., 2010)","previouslyFormattedCitation":"(Scott &lt;i&gt;et al.&lt;/i&gt;, 2010)"},"properties":{"noteIndex":0},"schema":"https://github.com/citation-style-language/schema/raw/master/csl-citation.json"}</w:instrText>
      </w:r>
      <w:r w:rsidR="006D5B91" w:rsidRPr="00A34CD9">
        <w:rPr>
          <w:rFonts w:cstheme="minorHAnsi"/>
          <w:lang w:val="en-GB"/>
        </w:rPr>
        <w:fldChar w:fldCharType="separate"/>
      </w:r>
      <w:r w:rsidR="003600F9" w:rsidRPr="00A34CD9">
        <w:rPr>
          <w:rFonts w:cstheme="minorHAnsi"/>
          <w:noProof/>
          <w:lang w:val="en-GB"/>
        </w:rPr>
        <w:t xml:space="preserve">(Scott </w:t>
      </w:r>
      <w:r w:rsidR="003600F9" w:rsidRPr="00A34CD9">
        <w:rPr>
          <w:rFonts w:cstheme="minorHAnsi"/>
          <w:i/>
          <w:noProof/>
          <w:lang w:val="en-GB"/>
        </w:rPr>
        <w:t>et al.</w:t>
      </w:r>
      <w:r w:rsidR="003600F9" w:rsidRPr="00A34CD9">
        <w:rPr>
          <w:rFonts w:cstheme="minorHAnsi"/>
          <w:noProof/>
          <w:lang w:val="en-GB"/>
        </w:rPr>
        <w:t>, 2010)</w:t>
      </w:r>
      <w:r w:rsidR="006D5B91" w:rsidRPr="00A34CD9">
        <w:rPr>
          <w:rFonts w:cstheme="minorHAnsi"/>
          <w:lang w:val="en-GB"/>
        </w:rPr>
        <w:fldChar w:fldCharType="end"/>
      </w:r>
      <w:r w:rsidR="00686B68" w:rsidRPr="00A34CD9">
        <w:rPr>
          <w:rFonts w:cstheme="minorHAnsi"/>
          <w:lang w:val="en-GB"/>
        </w:rPr>
        <w:t xml:space="preserve"> being </w:t>
      </w:r>
      <w:r w:rsidR="00F04C02" w:rsidRPr="00A34CD9">
        <w:rPr>
          <w:rFonts w:cstheme="minorHAnsi"/>
          <w:lang w:val="en-GB"/>
        </w:rPr>
        <w:t>highly relevant</w:t>
      </w:r>
      <w:r w:rsidR="00686B68" w:rsidRPr="00A34CD9">
        <w:rPr>
          <w:rFonts w:cstheme="minorHAnsi"/>
          <w:lang w:val="en-GB"/>
        </w:rPr>
        <w:t xml:space="preserve"> </w:t>
      </w:r>
      <w:r w:rsidR="00F04C02" w:rsidRPr="00A34CD9">
        <w:rPr>
          <w:rFonts w:cstheme="minorHAnsi"/>
          <w:lang w:val="en-GB"/>
        </w:rPr>
        <w:t xml:space="preserve">for top predator species </w:t>
      </w:r>
      <w:r w:rsidR="00803C8F" w:rsidRPr="00A34CD9">
        <w:rPr>
          <w:rFonts w:cstheme="minorHAnsi"/>
          <w:lang w:val="en-GB"/>
        </w:rPr>
        <w:fldChar w:fldCharType="begin" w:fldLock="1"/>
      </w:r>
      <w:r w:rsidR="00A669A1" w:rsidRPr="00A34CD9">
        <w:rPr>
          <w:rFonts w:cstheme="minorHAnsi"/>
          <w:lang w:val="en-GB"/>
        </w:rPr>
        <w:instrText>ADDIN CSL_CITATION {"citationItems":[{"id":"ITEM-1","itemData":{"DOI":"10.1016/j.dsr2.2016.11.008","ISBN":"0967-0645","ISSN":"09670645","abstract":"A B S T R A C T Scientific investigation in offshore areas are logistically challenging and expensive, therefore the available knowledge on seabird at sea distribution and abundance, as well as their seasonal variations, remains limited. To investigate the seasonal variability in seabird distribution and abundance in the North-Western Mediterranean Sea (NWMS), we conducted two large-scale aerial surveys in winter 2011–12 and summer 2012, covering a 181,400 km 2 area. Following a strip-transect method, observers recorded a total of 4141 seabird sightings in winter and 2334 in summer, along 32,213 km. Using geostatistical methods, we generated sightings density maps for both seasons, as well as estimates of density and abundance. Most taxa showed seasonal variations in their density and distribution patterns, as they used the area either for wintering or for breeding. Highest densities of seabirds were recorded during winter, although large-sized shearwaters, storm petrels and terns were more abundant during summer. Consequently, with nearly 170,000 seabirds estimated in winter, the total abundance was twice higher in winter. Coastal waters of the continental shelf were generally more exploited by seabirds, even though some species, such as Mediterranean gulls, black-headed gulls, little gulls and storm petrels were found at high densities in highly offshore waters. Our results revealed areas highly exploited by the seabird community in the NWMS, such as the Gulf of Lion, the Tuscan region, and the area between Corsica and Sardinia. In addition, these large-scale surveys provide a baseline for the monitoring of seabird at sea distribution, and could inform the EU Marine Strategy Framework Directive.","author":[{"dropping-particle":"","family":"Pettex","given":"E","non-dropping-particle":"","parse-names":false,"suffix":""},{"dropping-particle":"","family":"Laran","given":"S.","non-dropping-particle":"","parse-names":false,"suffix":""},{"dropping-particle":"","family":"Authier","given":"M","non-dropping-particle":"","parse-names":false,"suffix":""},{"dropping-particle":"","family":"Blanck","given":"A","non-dropping-particle":"","parse-names":false,"suffix":""},{"dropping-particle":"","family":"Dorémus","given":"G.","non-dropping-particle":"","parse-names":false,"suffix":""},{"dropping-particle":"","family":"Falchetto","given":"H.","non-dropping-particle":"","parse-names":false,"suffix":""},{"dropping-particle":"","family":"Lambert","given":"C.","non-dropping-particle":"","parse-names":false,"suffix":""},{"dropping-particle":"","family":"Monestiez","given":"P.","non-dropping-particle":"","parse-names":false,"suffix":""},{"dropping-particle":"","family":"Stéfan","given":"E.","non-dropping-particle":"","parse-names":false,"suffix":""},{"dropping-particle":"","family":"Canneyt","given":"O.","non-dropping-particle":"Van","parse-names":false,"suffix":""},{"dropping-particle":"","family":"Ridoux","given":"V.","non-dropping-particle":"","parse-names":false,"suffix":""}],"container-title":"Deep Sea Research","id":"ITEM-1","issued":{"date-parts":[["2017"]]},"page":"86-101","publisher":"Elsevier","title":"Using large scale surveys to investigate seasonal variations in seabird distribution and abundance. Part II: The Bay of Biscay and the English Channel","type":"article-journal","volume":"141"},"uris":["http://www.mendeley.com/documents/?uuid=8099af2d-86ad-4d91-9043-3cf7673bcdb6"]},{"id":"ITEM-2","itemData":{"DOI":"10.1016/j.dsr2.2017.03.016","ISBN":"0967-0645","abstract":"According to the European Union Habitats and Birds Directives, EU Member States must extend the Natura 2000 network to marine ecosystems, through the designation of Marine Protected Areas (MPAs). However, the initial status of cetacean and seabird communities across European waters is often poorly understood. It is assumed that an MPA is justified where at least 1% of the \"national population\" of a species is present during at least part of its biological cycle. The aim of the present work was to use model-based cetacean and seabird distribution to assess the networks of existing Natura 2000 sites and offshore proposed areas of biological interest. The habitat models used here were Generalised Additive Models computed from aerial surveys observational data collected during the winter 2011-2012 and the summer 2012 across the English Channel, Bay of Biscay and north-western Mediterranean Sea. Based on these models, a ratio between species relative abundance predicted within each MPA and the total relative abundance predicted over the French Atlantic or Mediterranean marine regions was computed and compared to the 1% threshold. This assessment was conducted for winter and summer independently, providing information for assessing the relevance of individual MPAs and MPA networks at a seasonal scale. Our results showed that the existing network designed for coastal seabird species was relevant in both marine regions. In contrast, a clear shortfall was identified for offshore seabird species in the Atlantic region and for cetaceans in both regions. Moreover, the size of MPAs appeared to be a crucial feature, with larger MPAs being relevant for more species. Finally, we showed that the proposed large offshore areas of interest would constitute a highly relevant network for all offshore species, with e.g. up to 61% of the Globicephalinae population in the Atlantic French waters being present within these areas.","author":[{"dropping-particle":"","family":"Lambert","given":"C","non-dropping-particle":"","parse-names":false,"suffix":""},{"dropping-particle":"","family":"Virgili","given":"A","non-dropping-particle":"","parse-names":false,"suffix":""},{"dropping-particle":"","family":"Pettex","given":"E","non-dropping-particle":"","parse-names":false,"suffix":""},{"dropping-particle":"","family":"Delavenne","given":"J","non-dropping-particle":"","parse-names":false,"suffix":""},{"dropping-particle":"","family":"Toison","given":"V","non-dropping-particle":"","parse-names":false,"suffix":""},{"dropping-particle":"","family":"Blanck","given":"A","non-dropping-particle":"","parse-names":false,"suffix":""},{"dropping-particle":"","family":"Ridoux","given":"V","non-dropping-particle":"","parse-names":false,"suffix":""}],"container-title":"Deep-Sea Research Part Ii-Topical Studies in Oceanography","id":"ITEM-2","issued":{"date-parts":[["2017"]]},"page":"262-274","title":"Habitat modelling predictions highlight seasonal relevance of Marine Protected Areas for marine megafauna","type":"article-journal","volume":"141"},"uris":["http://www.mendeley.com/documents/?uuid=6364082d-ed71-48b2-881b-d3e6941a5214"]},{"id":"ITEM-3","itemData":{"DOI":"10.1111/ddi.12877","ISSN":"14724642","abstract":"Aim: During their migration, highly mobile species cross multiple jurisdictional boundaries and multiple not-specific marine protected areas (MPAs). When identifying the critical habitats where individuals aggregate, these areas can be ideal candidates for MPAs. This study was focused on the endangered fin whale (Balaenoptera physalus) for which there is little knowledge on its distribution and abundance in non-breeding temperate latitudes. Location: Bay of Biscay (BoB). Methods: Firstly, we modelled the relative abundance of fin whales by means of generalized additive models (GAMs) using data collected on the PELACUS (2007–2008) and JUVENA (2013–2016) oceanographic surveys during late summer. Secondly, we evaluated the reliability of the predictions by distinguishing environmental extrapolations and interpolations. Finally, we identified critical areas of highest predicted abundance and we assessed whether existing MPAs comprised within the Natura 2000 network and designated for other species offer protection to fin whales in the BoB. Results: Fin whales were especially abundant in deep off-shore waters, mainly associated with intermediate temperature water values in the inner part of the BoB. The years with the highest relative predicted abundances (an average of 1,500 whales) matched with years when warmer sea surface temperature extended into larger areas. In colder years, the average predicted abundance dropped to 400 whales. The main critical area for fin whales (defined by the highest 40% of abundance) was common for both surveys, and it was located in the south-eastern part of the BoB. Main conclusions: Our study contributes to the identification of important concentration areas of fin whales during late summer, based on reliable spatial predictions. The assessment of the current Natura 2000 network highlights the fact that only three MPAs marginally covered the critical area we have identified for fin whales. We propose a transboundary potential MPA to aid the conservation of the species in the BoB.","author":[{"dropping-particle":"","family":"García-Barón","given":"Isabel","non-dropping-particle":"","parse-names":false,"suffix":""},{"dropping-particle":"","family":"Authier","given":"Matthieu","non-dropping-particle":"","parse-names":false,"suffix":""},{"dropping-particle":"","family":"Caballero","given":"Ainhoa","non-dropping-particle":"","parse-names":false,"suffix":""},{"dropping-particle":"","family":"Vázquez","given":"José A.","non-dropping-particle":"","parse-names":false,"suffix":""},{"dropping-particle":"","family":"Santos","given":"M. Begoña","non-dropping-particle":"","parse-names":false,"suffix":""},{"dropping-particle":"","family":"Murcia","given":"José Luis","non-dropping-particle":"","parse-names":false,"suffix":""},{"dropping-particle":"","family":"Louzao","given":"Maite","non-dropping-particle":"","parse-names":false,"suffix":""}],"container-title":"Diversity and Distributions","id":"ITEM-3","issue":"3","issued":{"date-parts":[["2019","3","1"]]},"page":"346-360","publisher":"Blackwell Publishing Ltd","title":"Modelling the spatial abundance of a migratory predator: A call for transboundary marine protected areas","type":"article-journal","volume":"25"},"uris":["http://www.mendeley.com/documents/?uuid=de43059d-9bb8-33ab-b511-9f4ea9bc2ad4"]}],"mendeley":{"formattedCitation":"(Lambert &lt;i&gt;et al.&lt;/i&gt;, 2017; Pettex &lt;i&gt;et al.&lt;/i&gt;, 2017; García-Barón &lt;i&gt;et al.&lt;/i&gt;, 2019)","manualFormatting":"(García-Barón et al., 2019; Pettex et al., 2017)","plainTextFormattedCitation":"(Lambert et al., 2017; Pettex et al., 2017; García-Barón et al., 2019)","previouslyFormattedCitation":"(Lambert &lt;i&gt;et al.&lt;/i&gt;, 2017; Pettex &lt;i&gt;et al.&lt;/i&gt;, 2017; García-Barón &lt;i&gt;et al.&lt;/i&gt;, 2019)"},"properties":{"noteIndex":0},"schema":"https://github.com/citation-style-language/schema/raw/master/csl-citation.json"}</w:instrText>
      </w:r>
      <w:r w:rsidR="00803C8F" w:rsidRPr="00A34CD9">
        <w:rPr>
          <w:rFonts w:cstheme="minorHAnsi"/>
          <w:lang w:val="en-GB"/>
        </w:rPr>
        <w:fldChar w:fldCharType="separate"/>
      </w:r>
      <w:r w:rsidR="00803C8F" w:rsidRPr="00A34CD9">
        <w:rPr>
          <w:rFonts w:cstheme="minorHAnsi"/>
          <w:noProof/>
          <w:lang w:val="en-GB"/>
        </w:rPr>
        <w:t xml:space="preserve">(García-Barón </w:t>
      </w:r>
      <w:r w:rsidR="00803C8F" w:rsidRPr="00A34CD9">
        <w:rPr>
          <w:rFonts w:cstheme="minorHAnsi"/>
          <w:i/>
          <w:iCs/>
          <w:noProof/>
          <w:lang w:val="en-GB"/>
        </w:rPr>
        <w:t>et al.</w:t>
      </w:r>
      <w:r w:rsidR="00803C8F" w:rsidRPr="00A34CD9">
        <w:rPr>
          <w:rFonts w:cstheme="minorHAnsi"/>
          <w:noProof/>
          <w:lang w:val="en-GB"/>
        </w:rPr>
        <w:t xml:space="preserve">, 2019; Pettex </w:t>
      </w:r>
      <w:r w:rsidR="00803C8F" w:rsidRPr="00A34CD9">
        <w:rPr>
          <w:rFonts w:cstheme="minorHAnsi"/>
          <w:i/>
          <w:iCs/>
          <w:noProof/>
          <w:lang w:val="en-GB"/>
        </w:rPr>
        <w:t>et al.</w:t>
      </w:r>
      <w:r w:rsidR="00803C8F" w:rsidRPr="00A34CD9">
        <w:rPr>
          <w:rFonts w:cstheme="minorHAnsi"/>
          <w:noProof/>
          <w:lang w:val="en-GB"/>
        </w:rPr>
        <w:t>, 2017)</w:t>
      </w:r>
      <w:r w:rsidR="00803C8F" w:rsidRPr="00A34CD9">
        <w:rPr>
          <w:rFonts w:cstheme="minorHAnsi"/>
          <w:lang w:val="en-GB"/>
        </w:rPr>
        <w:fldChar w:fldCharType="end"/>
      </w:r>
      <w:r w:rsidR="00803C8F" w:rsidRPr="00A34CD9">
        <w:rPr>
          <w:rFonts w:cstheme="minorHAnsi"/>
          <w:lang w:val="en-GB"/>
        </w:rPr>
        <w:t xml:space="preserve">. </w:t>
      </w:r>
      <w:r w:rsidR="00A50E13" w:rsidRPr="00A34CD9">
        <w:rPr>
          <w:rFonts w:cstheme="minorHAnsi"/>
          <w:lang w:val="en-GB"/>
        </w:rPr>
        <w:t xml:space="preserve">In addition, the results showed high densities of great shearwater over the western Cantabrian coastal area. </w:t>
      </w:r>
      <w:r w:rsidR="00254FAB" w:rsidRPr="00A34CD9">
        <w:rPr>
          <w:rFonts w:cstheme="minorHAnsi"/>
          <w:lang w:val="en-GB"/>
        </w:rPr>
        <w:t xml:space="preserve">This </w:t>
      </w:r>
      <w:r w:rsidR="005D132A" w:rsidRPr="00A34CD9">
        <w:rPr>
          <w:rFonts w:cstheme="minorHAnsi"/>
          <w:lang w:val="en-GB"/>
        </w:rPr>
        <w:t>g</w:t>
      </w:r>
      <w:r w:rsidR="00F73157" w:rsidRPr="00A34CD9">
        <w:rPr>
          <w:rFonts w:cstheme="minorHAnsi"/>
          <w:lang w:val="en-GB"/>
        </w:rPr>
        <w:t xml:space="preserve">reat shearwater </w:t>
      </w:r>
      <w:r w:rsidR="005D132A" w:rsidRPr="00A34CD9">
        <w:rPr>
          <w:rFonts w:cstheme="minorHAnsi"/>
          <w:lang w:val="en-GB"/>
        </w:rPr>
        <w:t>aggregation</w:t>
      </w:r>
      <w:r w:rsidR="00F73157" w:rsidRPr="00A34CD9">
        <w:rPr>
          <w:rFonts w:cstheme="minorHAnsi"/>
          <w:lang w:val="en-GB"/>
        </w:rPr>
        <w:t xml:space="preserve"> may</w:t>
      </w:r>
      <w:r w:rsidR="006162BC" w:rsidRPr="00A34CD9">
        <w:rPr>
          <w:rFonts w:cstheme="minorHAnsi"/>
          <w:lang w:val="en-GB"/>
        </w:rPr>
        <w:t xml:space="preserve"> </w:t>
      </w:r>
      <w:r w:rsidR="00F73157" w:rsidRPr="00A34CD9">
        <w:rPr>
          <w:rFonts w:cstheme="minorHAnsi"/>
          <w:lang w:val="en-GB"/>
        </w:rPr>
        <w:t xml:space="preserve">be explained by </w:t>
      </w:r>
      <w:r w:rsidR="00742516" w:rsidRPr="00A34CD9">
        <w:rPr>
          <w:rFonts w:cstheme="minorHAnsi"/>
          <w:lang w:val="en-GB"/>
        </w:rPr>
        <w:t xml:space="preserve">the easterly winds </w:t>
      </w:r>
      <w:r w:rsidR="009D16FC" w:rsidRPr="00A34CD9">
        <w:rPr>
          <w:rFonts w:cstheme="minorHAnsi"/>
          <w:lang w:val="en-GB"/>
        </w:rPr>
        <w:t>favouring</w:t>
      </w:r>
      <w:r w:rsidR="00742516" w:rsidRPr="00A34CD9">
        <w:rPr>
          <w:rFonts w:cstheme="minorHAnsi"/>
          <w:lang w:val="en-GB"/>
        </w:rPr>
        <w:t xml:space="preserve"> </w:t>
      </w:r>
      <w:r w:rsidR="00EC6A96" w:rsidRPr="00A34CD9">
        <w:rPr>
          <w:rFonts w:cstheme="minorHAnsi"/>
          <w:lang w:val="en-GB"/>
        </w:rPr>
        <w:t xml:space="preserve">both, </w:t>
      </w:r>
      <w:r w:rsidR="003202FE" w:rsidRPr="00A34CD9">
        <w:rPr>
          <w:rFonts w:cstheme="minorHAnsi"/>
          <w:lang w:val="en-GB"/>
        </w:rPr>
        <w:t xml:space="preserve">the arrival of </w:t>
      </w:r>
      <w:r w:rsidR="00B7691D" w:rsidRPr="00A34CD9">
        <w:rPr>
          <w:rFonts w:cstheme="minorHAnsi"/>
          <w:lang w:val="en-GB"/>
        </w:rPr>
        <w:t>great</w:t>
      </w:r>
      <w:r w:rsidR="003202FE" w:rsidRPr="00A34CD9">
        <w:rPr>
          <w:rFonts w:cstheme="minorHAnsi"/>
          <w:lang w:val="en-GB"/>
        </w:rPr>
        <w:t xml:space="preserve"> shearwaters</w:t>
      </w:r>
      <w:r w:rsidR="00887461" w:rsidRPr="00A34CD9">
        <w:rPr>
          <w:rFonts w:cstheme="minorHAnsi"/>
          <w:lang w:val="en-GB"/>
        </w:rPr>
        <w:t xml:space="preserve"> from their breeding areas</w:t>
      </w:r>
      <w:r w:rsidR="00B7691D" w:rsidRPr="00A34CD9">
        <w:rPr>
          <w:rFonts w:cstheme="minorHAnsi"/>
          <w:lang w:val="en-GB"/>
        </w:rPr>
        <w:t xml:space="preserve"> (Northwest Atlantic) to</w:t>
      </w:r>
      <w:r w:rsidR="00887461" w:rsidRPr="00A34CD9">
        <w:rPr>
          <w:rFonts w:cstheme="minorHAnsi"/>
          <w:lang w:val="en-GB"/>
        </w:rPr>
        <w:t xml:space="preserve"> the </w:t>
      </w:r>
      <w:proofErr w:type="spellStart"/>
      <w:r w:rsidR="00887461" w:rsidRPr="00A34CD9">
        <w:rPr>
          <w:rFonts w:cstheme="minorHAnsi"/>
          <w:lang w:val="en-GB"/>
        </w:rPr>
        <w:t>BoB</w:t>
      </w:r>
      <w:proofErr w:type="spellEnd"/>
      <w:r w:rsidR="00B7691D" w:rsidRPr="00A34CD9">
        <w:rPr>
          <w:rFonts w:cstheme="minorHAnsi"/>
          <w:lang w:val="en-GB"/>
        </w:rPr>
        <w:t xml:space="preserve"> </w:t>
      </w:r>
      <w:r w:rsidR="00B7691D" w:rsidRPr="00A34CD9">
        <w:rPr>
          <w:rFonts w:cstheme="minorHAnsi"/>
          <w:lang w:val="en-GB"/>
        </w:rPr>
        <w:fldChar w:fldCharType="begin" w:fldLock="1"/>
      </w:r>
      <w:r w:rsidR="00133476" w:rsidRPr="00A34CD9">
        <w:rPr>
          <w:rFonts w:cstheme="minorHAnsi"/>
          <w:lang w:val="en-GB"/>
        </w:rPr>
        <w:instrText>ADDIN CSL_CITATION {"citationItems":[{"id":"ITEM-1","itemData":{"DOI":"10.3389/fevo.2015.00090","ISBN":"2296-701X","ISSN":"2296-701X","abstract":"Within the current context of changing ecosystems, many organisms are experiencing phenological changes in the timing of migration. Here, we assessed whether the abundance patterns of two trans-equatorial migrating pelagic seabirds, the great shearwater and the sooty shearwater (Puffinus gravis and Puffinus griseus, respectively), have changed over recent decades in the Bay of Biscay (BoB) in relation to the main drivers shaping their migratory journey: climatic factors and food availability. Specifically, we studied the staging dynamic by estimating dates of arrival and departure, staging duration and abundance during a 16-year temporal window (1995–2010) based on monthly at-sea observations performed onboard a commercial ferry. Climatic effects were studied at two temporal scales: oceanic winds and global oscillations indices (North Atlantic Oscillation–NAO) that represent climate variability at short and long time scales, respectively. Based on oceanic winds, we also estimated a hypothetical cost of flying on a monthly basis considering wind speed and the angle between flight and wind direction. Our results showed that both great and sooty shearwaters were influenced by the large scale NAO index but the shape of the relationship was different, while the sooty shearwater was also influenced by food availability. Thus, each species might rely on different cues before and during their migration to adjust to optimal flying conditions and foraging grounds. Both species shape their arrival in the BoB with periods of potential minimum flying costs, following their migration from the western to the eastern North Atlantic. We foresee that the quantification of flying costs can integrate different processes at the level of migration and provide a wider understanding of the migratory dynamic of pelagic predators within current changing ecosystems.","author":[{"dropping-particle":"","family":"Louzao","given":"Maite","non-dropping-particle":"","parse-names":false,"suffix":""},{"dropping-particle":"","family":"Afán","given":"Isabel","non-dropping-particle":"","parse-names":false,"suffix":""},{"dropping-particle":"","family":"Santos","given":"María","non-dropping-particle":"","parse-names":false,"suffix":""},{"dropping-particle":"","family":"Brereton","given":"Tom","non-dropping-particle":"","parse-names":false,"suffix":""}],"container-title":"Frontiers in Ecology and Evolution","id":"ITEM-1","issued":{"date-parts":[["2015"]]},"page":"90","title":"The role of climate and food availability on driving decadal abundance patterns of highly migratory pelagic predators in the Bay of Biscay","type":"article-journal","volume":"3"},"uris":["http://www.mendeley.com/documents/?uuid=10678bfe-c8e9-440e-919c-1d57d0e0d3a0"]}],"mendeley":{"formattedCitation":"(Louzao &lt;i&gt;et al.&lt;/i&gt;, 2015)","plainTextFormattedCitation":"(Louzao et al., 2015)","previouslyFormattedCitation":"(Louzao &lt;i&gt;et al.&lt;/i&gt;, 2015)"},"properties":{"noteIndex":0},"schema":"https://github.com/citation-style-language/schema/raw/master/csl-citation.json"}</w:instrText>
      </w:r>
      <w:r w:rsidR="00B7691D" w:rsidRPr="00A34CD9">
        <w:rPr>
          <w:rFonts w:cstheme="minorHAnsi"/>
          <w:lang w:val="en-GB"/>
        </w:rPr>
        <w:fldChar w:fldCharType="separate"/>
      </w:r>
      <w:r w:rsidR="00B7691D" w:rsidRPr="00A34CD9">
        <w:rPr>
          <w:rFonts w:cstheme="minorHAnsi"/>
          <w:noProof/>
          <w:lang w:val="en-GB"/>
        </w:rPr>
        <w:t xml:space="preserve">(Louzao </w:t>
      </w:r>
      <w:r w:rsidR="00B7691D" w:rsidRPr="00A34CD9">
        <w:rPr>
          <w:rFonts w:cstheme="minorHAnsi"/>
          <w:i/>
          <w:noProof/>
          <w:lang w:val="en-GB"/>
        </w:rPr>
        <w:t>et al.</w:t>
      </w:r>
      <w:r w:rsidR="00B7691D" w:rsidRPr="00A34CD9">
        <w:rPr>
          <w:rFonts w:cstheme="minorHAnsi"/>
          <w:noProof/>
          <w:lang w:val="en-GB"/>
        </w:rPr>
        <w:t>, 2015)</w:t>
      </w:r>
      <w:r w:rsidR="00B7691D" w:rsidRPr="00A34CD9">
        <w:rPr>
          <w:rFonts w:cstheme="minorHAnsi"/>
          <w:lang w:val="en-GB"/>
        </w:rPr>
        <w:fldChar w:fldCharType="end"/>
      </w:r>
      <w:r w:rsidR="003742F8" w:rsidRPr="00A34CD9">
        <w:rPr>
          <w:rFonts w:cstheme="minorHAnsi"/>
          <w:lang w:val="en-GB"/>
        </w:rPr>
        <w:t xml:space="preserve"> and</w:t>
      </w:r>
      <w:r w:rsidR="003202FE" w:rsidRPr="00A34CD9">
        <w:rPr>
          <w:rFonts w:cstheme="minorHAnsi"/>
          <w:lang w:val="en-GB"/>
        </w:rPr>
        <w:t xml:space="preserve"> a </w:t>
      </w:r>
      <w:r w:rsidR="00742516" w:rsidRPr="00A34CD9">
        <w:rPr>
          <w:rFonts w:cstheme="minorHAnsi"/>
          <w:lang w:val="en-GB"/>
        </w:rPr>
        <w:t>coastal upwelling along the Cantabrian coast</w:t>
      </w:r>
      <w:r w:rsidR="00A978E1" w:rsidRPr="00A34CD9">
        <w:rPr>
          <w:rFonts w:cstheme="minorHAnsi"/>
          <w:lang w:val="en-GB"/>
        </w:rPr>
        <w:t>,</w:t>
      </w:r>
      <w:r w:rsidR="00A978E1" w:rsidRPr="00A34CD9">
        <w:rPr>
          <w:lang w:val="en-GB"/>
        </w:rPr>
        <w:t xml:space="preserve"> </w:t>
      </w:r>
      <w:r w:rsidR="00A978E1" w:rsidRPr="00A34CD9">
        <w:rPr>
          <w:rFonts w:cstheme="minorHAnsi"/>
          <w:lang w:val="en-GB"/>
        </w:rPr>
        <w:t>stronger in the western area</w:t>
      </w:r>
      <w:r w:rsidR="008821FF" w:rsidRPr="00A34CD9">
        <w:rPr>
          <w:rFonts w:cstheme="minorHAnsi"/>
          <w:lang w:val="en-GB"/>
        </w:rPr>
        <w:t xml:space="preserve"> </w:t>
      </w:r>
      <w:r w:rsidR="00742516" w:rsidRPr="00A34CD9">
        <w:rPr>
          <w:rFonts w:cstheme="minorHAnsi"/>
          <w:lang w:val="en-GB"/>
        </w:rPr>
        <w:t>during spring-summer</w:t>
      </w:r>
      <w:r w:rsidR="00E823DE" w:rsidRPr="00A34CD9">
        <w:rPr>
          <w:rFonts w:cstheme="minorHAnsi"/>
          <w:lang w:val="en-GB"/>
        </w:rPr>
        <w:t xml:space="preserve"> </w:t>
      </w:r>
      <w:r w:rsidR="00E823DE" w:rsidRPr="00A34CD9">
        <w:rPr>
          <w:rFonts w:cstheme="minorHAnsi"/>
          <w:lang w:val="en-GB"/>
        </w:rPr>
        <w:fldChar w:fldCharType="begin" w:fldLock="1"/>
      </w:r>
      <w:r w:rsidR="00C10796" w:rsidRPr="00A34CD9">
        <w:rPr>
          <w:rFonts w:cstheme="minorHAnsi"/>
          <w:lang w:val="en-GB"/>
        </w:rPr>
        <w:instrText>ADDIN CSL_CITATION {"citationItems":[{"id":"ITEM-1","itemData":{"DOI":"10.1016/j.jmarsys.2009.09.004","ISSN":"09247963","abstract":"Upwelling events have been analyzed along the western part of the Cantabrian coast from 1967 to 2007. This analysis shows that the highest number of days under upwelling favorable conditions was observed from June to September (12-14 days per month) with a probability of finding consecutive days under upwelling favorable conditions decreasing from 47% to 17% when events between 1 and 5 consecutive days were considered respectively. This situation was also corroborated by Sea Surface Temperature data which revealed the presence of cold water over the continental shelf, near coast, associated with upwelling favorable winds. This cold water was also observed inside the estuaries located in this area. The water temperature signal measured at the inner part of the Ria de O Barqueiro (NW Iberian Peninsula) from June to September 2008 showed to be negatively correlated with the Upwelling Index calculated in front of the northern Galician coast. This correlation tends to increase as the number of lag days between both variables increases. The maximum value of - 0.8 corresponds to a lag of 5 days. © 2009 Elsevier B.V. All rights reserved.","author":[{"dropping-particle":"","family":"Alvarez","given":"I.","non-dropping-particle":"","parse-names":false,"suffix":""},{"dropping-particle":"","family":"Gomez-Gesteira","given":"M.","non-dropping-particle":"","parse-names":false,"suffix":""},{"dropping-particle":"","family":"deCastro","given":"M.","non-dropping-particle":"","parse-names":false,"suffix":""},{"dropping-particle":"","family":"Gomez-Gesteira","given":"J. L.","non-dropping-particle":"","parse-names":false,"suffix":""},{"dropping-particle":"","family":"Dias","given":"J. M.","non-dropping-particle":"","parse-names":false,"suffix":""}],"container-title":"Journal of Marine Systems","id":"ITEM-1","issue":"1-2","issued":{"date-parts":[["2010"]]},"page":"218-226","publisher":"Elsevier B.V.","title":"Summer upwelling frequency along the western Cantabrian coast from 1967 to 2007","type":"article-journal","volume":"79"},"uris":["http://www.mendeley.com/documents/?uuid=eb66457f-f189-48bf-994f-5880f6560e33"]}],"mendeley":{"formattedCitation":"(Alvarez &lt;i&gt;et al.&lt;/i&gt;, 2010)","plainTextFormattedCitation":"(Alvarez et al., 2010)","previouslyFormattedCitation":"(Alvarez &lt;i&gt;et al.&lt;/i&gt;, 2010)"},"properties":{"noteIndex":0},"schema":"https://github.com/citation-style-language/schema/raw/master/csl-citation.json"}</w:instrText>
      </w:r>
      <w:r w:rsidR="00E823DE" w:rsidRPr="00A34CD9">
        <w:rPr>
          <w:rFonts w:cstheme="minorHAnsi"/>
          <w:lang w:val="en-GB"/>
        </w:rPr>
        <w:fldChar w:fldCharType="separate"/>
      </w:r>
      <w:r w:rsidR="00E823DE" w:rsidRPr="00A34CD9">
        <w:rPr>
          <w:rFonts w:cstheme="minorHAnsi"/>
          <w:noProof/>
          <w:lang w:val="en-GB"/>
        </w:rPr>
        <w:t xml:space="preserve">(Alvarez </w:t>
      </w:r>
      <w:r w:rsidR="00E823DE" w:rsidRPr="00A34CD9">
        <w:rPr>
          <w:rFonts w:cstheme="minorHAnsi"/>
          <w:i/>
          <w:noProof/>
          <w:lang w:val="en-GB"/>
        </w:rPr>
        <w:t>et al.</w:t>
      </w:r>
      <w:r w:rsidR="00E823DE" w:rsidRPr="00A34CD9">
        <w:rPr>
          <w:rFonts w:cstheme="minorHAnsi"/>
          <w:noProof/>
          <w:lang w:val="en-GB"/>
        </w:rPr>
        <w:t>, 2010)</w:t>
      </w:r>
      <w:r w:rsidR="00E823DE" w:rsidRPr="00A34CD9">
        <w:rPr>
          <w:rFonts w:cstheme="minorHAnsi"/>
          <w:lang w:val="en-GB"/>
        </w:rPr>
        <w:fldChar w:fldCharType="end"/>
      </w:r>
      <w:r w:rsidR="001E2E24" w:rsidRPr="00A34CD9">
        <w:rPr>
          <w:rFonts w:cstheme="minorHAnsi"/>
          <w:lang w:val="en-GB"/>
        </w:rPr>
        <w:t xml:space="preserve">. </w:t>
      </w:r>
      <w:r w:rsidR="00811D4E" w:rsidRPr="00A34CD9">
        <w:rPr>
          <w:rFonts w:cstheme="minorHAnsi"/>
          <w:lang w:val="en-GB"/>
        </w:rPr>
        <w:t>The la</w:t>
      </w:r>
      <w:r w:rsidR="00F64D50" w:rsidRPr="00A34CD9">
        <w:rPr>
          <w:rFonts w:cstheme="minorHAnsi"/>
          <w:lang w:val="en-GB"/>
        </w:rPr>
        <w:t>tter</w:t>
      </w:r>
      <w:r w:rsidR="00811D4E" w:rsidRPr="00A34CD9">
        <w:rPr>
          <w:rFonts w:cstheme="minorHAnsi"/>
          <w:lang w:val="en-GB"/>
        </w:rPr>
        <w:t xml:space="preserve">, </w:t>
      </w:r>
      <w:r w:rsidR="00B72FEF" w:rsidRPr="00A34CD9">
        <w:rPr>
          <w:rFonts w:cstheme="minorHAnsi"/>
          <w:lang w:val="en-GB"/>
        </w:rPr>
        <w:t>enhanc</w:t>
      </w:r>
      <w:r w:rsidR="00811D4E" w:rsidRPr="00A34CD9">
        <w:rPr>
          <w:rFonts w:cstheme="minorHAnsi"/>
          <w:lang w:val="en-GB"/>
        </w:rPr>
        <w:t>ing</w:t>
      </w:r>
      <w:r w:rsidR="00E9237F" w:rsidRPr="00A34CD9">
        <w:rPr>
          <w:rFonts w:cstheme="minorHAnsi"/>
          <w:lang w:val="en-GB"/>
        </w:rPr>
        <w:t xml:space="preserve"> </w:t>
      </w:r>
      <w:r w:rsidR="00E24B1F" w:rsidRPr="00A34CD9">
        <w:rPr>
          <w:rFonts w:cstheme="minorHAnsi"/>
          <w:lang w:val="en-GB"/>
        </w:rPr>
        <w:t>the aggregation of</w:t>
      </w:r>
      <w:r w:rsidR="00E9237F" w:rsidRPr="00A34CD9">
        <w:rPr>
          <w:rFonts w:cstheme="minorHAnsi"/>
          <w:lang w:val="en-GB"/>
        </w:rPr>
        <w:t xml:space="preserve"> large biomass of small pelagic fish</w:t>
      </w:r>
      <w:r w:rsidR="00C10796" w:rsidRPr="00A34CD9">
        <w:rPr>
          <w:rFonts w:cstheme="minorHAnsi"/>
          <w:lang w:val="en-GB"/>
        </w:rPr>
        <w:t xml:space="preserve"> </w:t>
      </w:r>
      <w:r w:rsidR="00C10796" w:rsidRPr="00A34CD9">
        <w:rPr>
          <w:rFonts w:cstheme="minorHAnsi"/>
          <w:lang w:val="en-GB"/>
        </w:rPr>
        <w:fldChar w:fldCharType="begin" w:fldLock="1"/>
      </w:r>
      <w:r w:rsidR="00AB08BE" w:rsidRPr="00A34CD9">
        <w:rPr>
          <w:rFonts w:cstheme="minorHAnsi"/>
          <w:lang w:val="en-GB"/>
        </w:rPr>
        <w:instrText>ADDIN CSL_CITATION {"citationItems":[{"id":"ITEM-1","itemData":{"DOI":"10.1093/icesjms/fsz140","author":[{"dropping-particle":"","family":"Astarloa","given":"Amaia","non-dropping-particle":"","parse-names":false,"suffix":""},{"dropping-particle":"","family":"Louzao","given":"Maite","non-dropping-particle":"","parse-names":false,"suffix":""},{"dropping-particle":"","family":"Boyra","given":"Guillermo","non-dropping-particle":"","parse-names":false,"suffix":""},{"dropping-particle":"","family":"Irigoien","given":"Xabier","non-dropping-particle":"","parse-names":false,"suffix":""},{"dropping-particle":"","family":"Hui","given":"Francis K C","non-dropping-particle":"","parse-names":false,"suffix":""},{"dropping-particle":"","family":"Chust","given":"Guillem","non-dropping-particle":"","parse-names":false,"suffix":""},{"dropping-particle":"","family":"Martinez","given":"Udane","non-dropping-particle":"","parse-names":false,"suffix":""},{"dropping-particle":"","family":"Rubio","given":"Anna","non-dropping-particle":"","parse-names":false,"suffix":""}],"container-title":"ICES Journal of Marine Science","id":"ITEM-1","issue":"7","issued":{"date-parts":[["2019"]]},"page":"2247–2259","title":"Identifying main interactions in marine predator-prey networks of the Bay of Biscay","type":"article-journal","volume":"76"},"uris":["http://www.mendeley.com/documents/?uuid=1d515afa-5d2c-434a-b6f2-4120d7348139"]}],"mendeley":{"formattedCitation":"(Astarloa &lt;i&gt;et al.&lt;/i&gt;, 2019)","plainTextFormattedCitation":"(Astarloa et al., 2019)","previouslyFormattedCitation":"(Astarloa &lt;i&gt;et al.&lt;/i&gt;, 2019)"},"properties":{"noteIndex":0},"schema":"https://github.com/citation-style-language/schema/raw/master/csl-citation.json"}</w:instrText>
      </w:r>
      <w:r w:rsidR="00C10796" w:rsidRPr="00A34CD9">
        <w:rPr>
          <w:rFonts w:cstheme="minorHAnsi"/>
          <w:lang w:val="en-GB"/>
        </w:rPr>
        <w:fldChar w:fldCharType="separate"/>
      </w:r>
      <w:r w:rsidR="00C10796" w:rsidRPr="00A34CD9">
        <w:rPr>
          <w:rFonts w:cstheme="minorHAnsi"/>
          <w:noProof/>
          <w:lang w:val="en-GB"/>
        </w:rPr>
        <w:t xml:space="preserve">(Astarloa </w:t>
      </w:r>
      <w:r w:rsidR="00C10796" w:rsidRPr="00A34CD9">
        <w:rPr>
          <w:rFonts w:cstheme="minorHAnsi"/>
          <w:i/>
          <w:noProof/>
          <w:lang w:val="en-GB"/>
        </w:rPr>
        <w:t>et al.</w:t>
      </w:r>
      <w:r w:rsidR="00C10796" w:rsidRPr="00A34CD9">
        <w:rPr>
          <w:rFonts w:cstheme="minorHAnsi"/>
          <w:noProof/>
          <w:lang w:val="en-GB"/>
        </w:rPr>
        <w:t>, 2019)</w:t>
      </w:r>
      <w:r w:rsidR="00C10796" w:rsidRPr="00A34CD9">
        <w:rPr>
          <w:rFonts w:cstheme="minorHAnsi"/>
          <w:lang w:val="en-GB"/>
        </w:rPr>
        <w:fldChar w:fldCharType="end"/>
      </w:r>
      <w:r w:rsidR="00E24B1F" w:rsidRPr="00A34CD9">
        <w:rPr>
          <w:rFonts w:cstheme="minorHAnsi"/>
          <w:lang w:val="en-GB"/>
        </w:rPr>
        <w:t xml:space="preserve"> </w:t>
      </w:r>
      <w:r w:rsidR="007C091C" w:rsidRPr="00A34CD9">
        <w:rPr>
          <w:rFonts w:cstheme="minorHAnsi"/>
          <w:lang w:val="en-GB"/>
        </w:rPr>
        <w:t>representing a potential feeding ground for great shearwaters.</w:t>
      </w:r>
    </w:p>
    <w:p w14:paraId="6B3A94DE" w14:textId="6C2EC936" w:rsidR="00B20972" w:rsidRPr="00A34CD9" w:rsidRDefault="00FC7E74" w:rsidP="002A528E">
      <w:pPr>
        <w:suppressLineNumbers/>
        <w:spacing w:line="480" w:lineRule="auto"/>
        <w:jc w:val="both"/>
        <w:rPr>
          <w:rFonts w:cstheme="minorHAnsi"/>
          <w:lang w:val="en-GB"/>
        </w:rPr>
      </w:pPr>
      <w:r w:rsidRPr="00A34CD9">
        <w:rPr>
          <w:rFonts w:cstheme="minorHAnsi"/>
          <w:lang w:val="en-GB"/>
        </w:rPr>
        <w:t xml:space="preserve">Fishing activity performed by the Spanish artisanal tuna fishery were mainly located over the </w:t>
      </w:r>
      <w:r w:rsidR="00774261" w:rsidRPr="00A34CD9">
        <w:rPr>
          <w:rFonts w:cstheme="minorHAnsi"/>
          <w:lang w:val="en-GB"/>
        </w:rPr>
        <w:t xml:space="preserve">outer </w:t>
      </w:r>
      <w:r w:rsidRPr="00A34CD9">
        <w:rPr>
          <w:rFonts w:cstheme="minorHAnsi"/>
          <w:lang w:val="en-GB"/>
        </w:rPr>
        <w:t>French (Armorican slope)</w:t>
      </w:r>
      <w:r w:rsidR="004D2672" w:rsidRPr="00A34CD9">
        <w:rPr>
          <w:rFonts w:cstheme="minorHAnsi"/>
          <w:lang w:val="en-GB"/>
        </w:rPr>
        <w:t xml:space="preserve"> and </w:t>
      </w:r>
      <w:r w:rsidRPr="00A34CD9">
        <w:rPr>
          <w:rFonts w:cstheme="minorHAnsi"/>
          <w:lang w:val="en-GB"/>
        </w:rPr>
        <w:t xml:space="preserve">Spanish </w:t>
      </w:r>
      <w:r w:rsidR="00774261" w:rsidRPr="00A34CD9">
        <w:rPr>
          <w:rFonts w:cstheme="minorHAnsi"/>
          <w:lang w:val="en-GB"/>
        </w:rPr>
        <w:t>continental shelfs and adjacent waters</w:t>
      </w:r>
      <w:r w:rsidRPr="00A34CD9">
        <w:rPr>
          <w:rFonts w:cstheme="minorHAnsi"/>
          <w:lang w:val="en-GB"/>
        </w:rPr>
        <w:t xml:space="preserve">, the Cantabrian </w:t>
      </w:r>
      <w:r w:rsidR="00A34CD9" w:rsidRPr="00A34CD9">
        <w:rPr>
          <w:rFonts w:cstheme="minorHAnsi"/>
          <w:lang w:val="en-GB"/>
        </w:rPr>
        <w:t>Sea,</w:t>
      </w:r>
      <w:r w:rsidRPr="00A34CD9">
        <w:rPr>
          <w:rFonts w:cstheme="minorHAnsi"/>
          <w:lang w:val="en-GB"/>
        </w:rPr>
        <w:t xml:space="preserve"> and offshore waters of the </w:t>
      </w:r>
      <w:proofErr w:type="spellStart"/>
      <w:r w:rsidRPr="00A34CD9">
        <w:rPr>
          <w:rFonts w:cstheme="minorHAnsi"/>
          <w:lang w:val="en-GB"/>
        </w:rPr>
        <w:t>BoB</w:t>
      </w:r>
      <w:proofErr w:type="spellEnd"/>
      <w:r w:rsidRPr="00A34CD9">
        <w:rPr>
          <w:rFonts w:cstheme="minorHAnsi"/>
          <w:lang w:val="en-GB"/>
        </w:rPr>
        <w:t xml:space="preserve">. </w:t>
      </w:r>
      <w:r w:rsidR="00DA6A2F" w:rsidRPr="00A34CD9">
        <w:rPr>
          <w:rFonts w:cstheme="minorHAnsi"/>
          <w:lang w:val="en-GB"/>
        </w:rPr>
        <w:t>Although t</w:t>
      </w:r>
      <w:r w:rsidRPr="00A34CD9">
        <w:rPr>
          <w:rFonts w:cstheme="minorHAnsi"/>
          <w:lang w:val="en-GB"/>
        </w:rPr>
        <w:t xml:space="preserve">he effort showed little inter annual variability over the study period, </w:t>
      </w:r>
      <w:r w:rsidR="00DA6A2F" w:rsidRPr="00A34CD9">
        <w:rPr>
          <w:rFonts w:cstheme="minorHAnsi"/>
          <w:lang w:val="en-GB"/>
        </w:rPr>
        <w:t>during</w:t>
      </w:r>
      <w:r w:rsidRPr="00A34CD9">
        <w:rPr>
          <w:rFonts w:cstheme="minorHAnsi"/>
          <w:lang w:val="en-GB"/>
        </w:rPr>
        <w:t xml:space="preserve"> 2014</w:t>
      </w:r>
      <w:r w:rsidR="00DA6A2F" w:rsidRPr="00A34CD9">
        <w:rPr>
          <w:rFonts w:cstheme="minorHAnsi"/>
          <w:lang w:val="en-GB"/>
        </w:rPr>
        <w:t xml:space="preserve"> </w:t>
      </w:r>
      <w:r w:rsidRPr="00A34CD9">
        <w:rPr>
          <w:rFonts w:cstheme="minorHAnsi"/>
          <w:lang w:val="en-GB"/>
        </w:rPr>
        <w:t>the fishing activity drastically declined.</w:t>
      </w:r>
      <w:r w:rsidR="0066243D" w:rsidRPr="00A34CD9">
        <w:rPr>
          <w:rFonts w:cstheme="minorHAnsi"/>
          <w:lang w:val="en-GB"/>
        </w:rPr>
        <w:t xml:space="preserve"> </w:t>
      </w:r>
      <w:r w:rsidR="00A14948" w:rsidRPr="00A34CD9">
        <w:rPr>
          <w:rFonts w:cstheme="minorHAnsi"/>
          <w:lang w:val="en-GB"/>
        </w:rPr>
        <w:t>T</w:t>
      </w:r>
      <w:r w:rsidR="008656B2" w:rsidRPr="00A34CD9">
        <w:rPr>
          <w:rFonts w:cstheme="minorHAnsi"/>
          <w:lang w:val="en-GB"/>
        </w:rPr>
        <w:t>hat year</w:t>
      </w:r>
      <w:r w:rsidR="00A14948" w:rsidRPr="00A34CD9">
        <w:rPr>
          <w:rFonts w:cstheme="minorHAnsi"/>
          <w:lang w:val="en-GB"/>
        </w:rPr>
        <w:t>,</w:t>
      </w:r>
      <w:r w:rsidR="008656B2" w:rsidRPr="00A34CD9">
        <w:rPr>
          <w:rFonts w:cstheme="minorHAnsi"/>
          <w:lang w:val="en-GB"/>
        </w:rPr>
        <w:t xml:space="preserve"> the albacore tuna </w:t>
      </w:r>
      <w:r w:rsidR="001872DC" w:rsidRPr="00A34CD9">
        <w:rPr>
          <w:rFonts w:cstheme="minorHAnsi"/>
          <w:lang w:val="en-GB"/>
        </w:rPr>
        <w:t>shifted north-westward</w:t>
      </w:r>
      <w:r w:rsidR="005355AB" w:rsidRPr="00A34CD9">
        <w:rPr>
          <w:rFonts w:cstheme="minorHAnsi"/>
          <w:lang w:val="en-GB"/>
        </w:rPr>
        <w:t xml:space="preserve">, driving </w:t>
      </w:r>
      <w:r w:rsidR="001872DC" w:rsidRPr="00A34CD9">
        <w:rPr>
          <w:rFonts w:cstheme="minorHAnsi"/>
          <w:lang w:val="en-GB"/>
        </w:rPr>
        <w:t xml:space="preserve"> </w:t>
      </w:r>
      <w:r w:rsidRPr="00A34CD9">
        <w:rPr>
          <w:rFonts w:cstheme="minorHAnsi"/>
          <w:lang w:val="en-GB"/>
        </w:rPr>
        <w:t xml:space="preserve">the fleet outside the study area in search of more productive fishing grounds </w:t>
      </w:r>
      <w:r w:rsidRPr="00A34CD9">
        <w:rPr>
          <w:rFonts w:cstheme="minorHAnsi"/>
          <w:lang w:val="en-GB"/>
        </w:rPr>
        <w:fldChar w:fldCharType="begin" w:fldLock="1"/>
      </w:r>
      <w:r w:rsidR="005E336E" w:rsidRPr="00A34CD9">
        <w:rPr>
          <w:rFonts w:cstheme="minorHAnsi"/>
          <w:lang w:val="en-GB"/>
        </w:rPr>
        <w:instrText>ADDIN CSL_CITATION {"citationItems":[{"id":"ITEM-1","itemData":{"DOI":"10.1111/fog.12427","ISSN":"13652419","abstract":"© 2019 John Wiley &amp; Sons Ltd Marine species have exhibited trends in their geographic distribution and phenology in recent decades, and these changes are triggered by climate variability or anthropogenic pressures. Northeast Atlantic albacore has recently been identified to show changes of this nature, although the underlying causes are still uncertain. The aim of this work was to analyse the Northeast Atlantic albacore distribution shifts and phenological changes during the trophic migration that juveniles undertake from late spring to autumn and to identify potential causes of such variability. Specifically, time series of albacore catches of the Basque trolling fleet were studied and compared with trends derived from a null ecological niche model using very large number of catch observations (27,982). The results showed an earlier albacore migration of 2.3 days per decade during the period of 1981–2017, which was partly associated with the recent warming of the sea. The trend analysis of the catch distribution also detected a significant north-westward trend in catch observations and a northward trend in species habitat. In contrast, both latitudinal trends were uncorrelated. This result suggests that interannual species distribution shifts are mainly related to factors other than oceanic-climatic variability, such as fleet behaviour or prey changes.","author":[{"dropping-particle":"","family":"Chust","given":"Guillem","non-dropping-particle":"","parse-names":false,"suffix":""},{"dropping-particle":"","family":"Goikoetxea","given":"Nerea","non-dropping-particle":"","parse-names":false,"suffix":""},{"dropping-particle":"","family":"Ibaibarriaga","given":"Leire","non-dropping-particle":"","parse-names":false,"suffix":""},{"dropping-particle":"","family":"Sagarminaga","given":"Yolanda","non-dropping-particle":"","parse-names":false,"suffix":""},{"dropping-particle":"","family":"Arregui","given":"Igor","non-dropping-particle":"","parse-names":false,"suffix":""},{"dropping-particle":"","family":"Fontán","given":"Almudena","non-dropping-particle":"","parse-names":false,"suffix":""},{"dropping-particle":"","family":"Irigoien","given":"Xabier","non-dropping-particle":"","parse-names":false,"suffix":""},{"dropping-particle":"","family":"Arrizabalaga","given":"Haritz","non-dropping-particle":"","parse-names":false,"suffix":""}],"container-title":"Fisheries Oceanography","id":"ITEM-1","issue":"5","issued":{"date-parts":[["2019","9"]]},"page":"505-516","title":"Earlier migration and distribution changes of albacore in the Northeast Atlantic","type":"article-journal","volume":"28"},"uris":["http://www.mendeley.com/documents/?uuid=bdcf38fe-b76b-3f24-b4a9-4e6ab3755292"]}],"mendeley":{"formattedCitation":"(Chust &lt;i&gt;et al.&lt;/i&gt;, 2019)","plainTextFormattedCitation":"(Chust et al., 2019)","previouslyFormattedCitation":"(Chust &lt;i&gt;et al.&lt;/i&gt;, 2019)"},"properties":{"noteIndex":0},"schema":"https://github.com/citation-style-language/schema/raw/master/csl-citation.json"}</w:instrText>
      </w:r>
      <w:r w:rsidRPr="00A34CD9">
        <w:rPr>
          <w:rFonts w:cstheme="minorHAnsi"/>
          <w:lang w:val="en-GB"/>
        </w:rPr>
        <w:fldChar w:fldCharType="separate"/>
      </w:r>
      <w:r w:rsidR="003600F9" w:rsidRPr="00A34CD9">
        <w:rPr>
          <w:rFonts w:cstheme="minorHAnsi"/>
          <w:noProof/>
          <w:lang w:val="en-GB"/>
        </w:rPr>
        <w:t xml:space="preserve">(Chust </w:t>
      </w:r>
      <w:r w:rsidR="003600F9" w:rsidRPr="00A34CD9">
        <w:rPr>
          <w:rFonts w:cstheme="minorHAnsi"/>
          <w:i/>
          <w:noProof/>
          <w:lang w:val="en-GB"/>
        </w:rPr>
        <w:t>et al.</w:t>
      </w:r>
      <w:r w:rsidR="003600F9" w:rsidRPr="00A34CD9">
        <w:rPr>
          <w:rFonts w:cstheme="minorHAnsi"/>
          <w:noProof/>
          <w:lang w:val="en-GB"/>
        </w:rPr>
        <w:t>, 2019)</w:t>
      </w:r>
      <w:r w:rsidRPr="00A34CD9">
        <w:rPr>
          <w:rFonts w:cstheme="minorHAnsi"/>
          <w:lang w:val="en-GB"/>
        </w:rPr>
        <w:fldChar w:fldCharType="end"/>
      </w:r>
      <w:r w:rsidRPr="00A34CD9">
        <w:rPr>
          <w:rFonts w:cstheme="minorHAnsi"/>
          <w:lang w:val="en-GB"/>
        </w:rPr>
        <w:t>.</w:t>
      </w:r>
      <w:r w:rsidR="00B20972" w:rsidRPr="00A34CD9">
        <w:rPr>
          <w:rFonts w:cstheme="minorHAnsi"/>
          <w:lang w:val="en-GB"/>
        </w:rPr>
        <w:t xml:space="preserve"> </w:t>
      </w:r>
    </w:p>
    <w:p w14:paraId="671EAFC7" w14:textId="5C784C7B" w:rsidR="009C36BB" w:rsidRPr="00A34CD9" w:rsidRDefault="007473E5" w:rsidP="002A528E">
      <w:pPr>
        <w:pStyle w:val="Prrafodelista"/>
        <w:numPr>
          <w:ilvl w:val="1"/>
          <w:numId w:val="3"/>
        </w:numPr>
        <w:suppressLineNumbers/>
        <w:spacing w:line="480" w:lineRule="auto"/>
        <w:jc w:val="both"/>
        <w:outlineLvl w:val="1"/>
        <w:rPr>
          <w:rFonts w:cstheme="minorHAnsi"/>
          <w:b/>
          <w:bCs/>
          <w:sz w:val="24"/>
          <w:szCs w:val="24"/>
          <w:lang w:val="en-GB"/>
        </w:rPr>
      </w:pPr>
      <w:r w:rsidRPr="00A34CD9">
        <w:rPr>
          <w:rFonts w:cstheme="minorHAnsi"/>
          <w:b/>
          <w:bCs/>
          <w:sz w:val="24"/>
          <w:szCs w:val="24"/>
          <w:lang w:val="en-GB"/>
        </w:rPr>
        <w:t xml:space="preserve">Assessing </w:t>
      </w:r>
      <w:r w:rsidR="00D637BD" w:rsidRPr="00A34CD9">
        <w:rPr>
          <w:rFonts w:cstheme="minorHAnsi"/>
          <w:b/>
          <w:bCs/>
          <w:sz w:val="24"/>
          <w:szCs w:val="24"/>
          <w:lang w:val="en-GB"/>
        </w:rPr>
        <w:t xml:space="preserve">potential </w:t>
      </w:r>
      <w:r w:rsidR="002407A1" w:rsidRPr="00A34CD9">
        <w:rPr>
          <w:rFonts w:cstheme="minorHAnsi"/>
          <w:b/>
          <w:bCs/>
          <w:sz w:val="24"/>
          <w:szCs w:val="24"/>
          <w:lang w:val="en-GB"/>
        </w:rPr>
        <w:t xml:space="preserve">bycatch </w:t>
      </w:r>
      <w:r w:rsidR="009975C9" w:rsidRPr="00A34CD9">
        <w:rPr>
          <w:rFonts w:cstheme="minorHAnsi"/>
          <w:b/>
          <w:bCs/>
          <w:sz w:val="24"/>
          <w:szCs w:val="24"/>
          <w:lang w:val="en-GB"/>
        </w:rPr>
        <w:t xml:space="preserve">risk </w:t>
      </w:r>
      <w:r w:rsidR="002407A1" w:rsidRPr="00A34CD9">
        <w:rPr>
          <w:rFonts w:cstheme="minorHAnsi"/>
          <w:b/>
          <w:bCs/>
          <w:sz w:val="24"/>
          <w:szCs w:val="24"/>
          <w:lang w:val="en-GB"/>
        </w:rPr>
        <w:t>areas</w:t>
      </w:r>
    </w:p>
    <w:p w14:paraId="72B634D8" w14:textId="1A65A41F" w:rsidR="00AB6A11" w:rsidRPr="00A34CD9" w:rsidRDefault="00434989" w:rsidP="002A528E">
      <w:pPr>
        <w:suppressLineNumbers/>
        <w:spacing w:line="480" w:lineRule="auto"/>
        <w:jc w:val="both"/>
        <w:rPr>
          <w:rFonts w:cstheme="minorHAnsi"/>
          <w:lang w:val="en-GB"/>
        </w:rPr>
      </w:pPr>
      <w:r w:rsidRPr="00A34CD9">
        <w:rPr>
          <w:rFonts w:cstheme="minorHAnsi"/>
          <w:lang w:val="en-GB"/>
        </w:rPr>
        <w:t xml:space="preserve">The results of the </w:t>
      </w:r>
      <w:r w:rsidR="0084052B" w:rsidRPr="00A34CD9">
        <w:rPr>
          <w:rFonts w:cstheme="minorHAnsi"/>
          <w:lang w:val="en-GB"/>
        </w:rPr>
        <w:t>PSA</w:t>
      </w:r>
      <w:r w:rsidRPr="00A34CD9">
        <w:rPr>
          <w:rFonts w:cstheme="minorHAnsi"/>
          <w:lang w:val="en-GB"/>
        </w:rPr>
        <w:t xml:space="preserve"> indicated that </w:t>
      </w:r>
      <w:r w:rsidR="006A30C5" w:rsidRPr="00A34CD9">
        <w:rPr>
          <w:rFonts w:cstheme="minorHAnsi"/>
          <w:lang w:val="en-GB"/>
        </w:rPr>
        <w:t>b</w:t>
      </w:r>
      <w:r w:rsidR="00B16E21" w:rsidRPr="00A34CD9">
        <w:rPr>
          <w:rFonts w:cstheme="minorHAnsi"/>
          <w:lang w:val="en-GB"/>
        </w:rPr>
        <w:t xml:space="preserve">oth </w:t>
      </w:r>
      <w:r w:rsidR="00146575" w:rsidRPr="00A34CD9">
        <w:rPr>
          <w:rFonts w:cstheme="minorHAnsi"/>
          <w:lang w:val="en-GB"/>
        </w:rPr>
        <w:t>metiers</w:t>
      </w:r>
      <w:r w:rsidR="00B16E21" w:rsidRPr="00A34CD9">
        <w:rPr>
          <w:rFonts w:cstheme="minorHAnsi"/>
          <w:lang w:val="en-GB"/>
        </w:rPr>
        <w:t xml:space="preserve"> </w:t>
      </w:r>
      <w:r w:rsidR="00023A95" w:rsidRPr="00A34CD9">
        <w:rPr>
          <w:rFonts w:cstheme="minorHAnsi"/>
          <w:lang w:val="en-GB"/>
        </w:rPr>
        <w:t xml:space="preserve">of the artisanal tuna fishing fleet operating </w:t>
      </w:r>
      <w:r w:rsidR="0055701F" w:rsidRPr="00A34CD9">
        <w:rPr>
          <w:rFonts w:cstheme="minorHAnsi"/>
          <w:lang w:val="en-GB"/>
        </w:rPr>
        <w:t>at</w:t>
      </w:r>
      <w:r w:rsidR="00023A95" w:rsidRPr="00A34CD9">
        <w:rPr>
          <w:rFonts w:cstheme="minorHAnsi"/>
          <w:lang w:val="en-GB"/>
        </w:rPr>
        <w:t xml:space="preserve"> the </w:t>
      </w:r>
      <w:proofErr w:type="spellStart"/>
      <w:r w:rsidR="00023A95" w:rsidRPr="00A34CD9">
        <w:rPr>
          <w:rFonts w:cstheme="minorHAnsi"/>
          <w:lang w:val="en-GB"/>
        </w:rPr>
        <w:t>BoB</w:t>
      </w:r>
      <w:proofErr w:type="spellEnd"/>
      <w:r w:rsidR="00023A95" w:rsidRPr="00A34CD9">
        <w:rPr>
          <w:rFonts w:cstheme="minorHAnsi"/>
          <w:lang w:val="en-GB"/>
        </w:rPr>
        <w:t xml:space="preserve"> </w:t>
      </w:r>
      <w:r w:rsidR="00A55344" w:rsidRPr="00A34CD9">
        <w:rPr>
          <w:rFonts w:cstheme="minorHAnsi"/>
          <w:lang w:val="en-GB"/>
        </w:rPr>
        <w:t>represent</w:t>
      </w:r>
      <w:r w:rsidR="00023A95" w:rsidRPr="00A34CD9">
        <w:rPr>
          <w:rFonts w:cstheme="minorHAnsi"/>
          <w:lang w:val="en-GB"/>
        </w:rPr>
        <w:t xml:space="preserve"> a</w:t>
      </w:r>
      <w:r w:rsidR="00303C9A" w:rsidRPr="00A34CD9">
        <w:rPr>
          <w:rFonts w:cstheme="minorHAnsi"/>
          <w:lang w:val="en-GB"/>
        </w:rPr>
        <w:t>n overall</w:t>
      </w:r>
      <w:r w:rsidR="00023A95" w:rsidRPr="00A34CD9">
        <w:rPr>
          <w:rFonts w:cstheme="minorHAnsi"/>
          <w:lang w:val="en-GB"/>
        </w:rPr>
        <w:t xml:space="preserve"> moderate ri</w:t>
      </w:r>
      <w:r w:rsidR="00303C9A" w:rsidRPr="00A34CD9">
        <w:rPr>
          <w:rFonts w:cstheme="minorHAnsi"/>
          <w:lang w:val="en-GB"/>
        </w:rPr>
        <w:t>sk to great shearwaters</w:t>
      </w:r>
      <w:r w:rsidR="00F712FB" w:rsidRPr="00A34CD9">
        <w:rPr>
          <w:rFonts w:cstheme="minorHAnsi"/>
          <w:lang w:val="en-GB"/>
        </w:rPr>
        <w:t xml:space="preserve">. </w:t>
      </w:r>
      <w:r w:rsidR="00735EAA" w:rsidRPr="00A34CD9">
        <w:rPr>
          <w:rFonts w:cstheme="minorHAnsi"/>
          <w:lang w:val="en-GB"/>
        </w:rPr>
        <w:t xml:space="preserve">While diving species suffer from bycatch in bottom set gears such as static nets, shallow-diver species tend to be incidentally captured during line setting operations when they are attracted by baited hooks </w:t>
      </w:r>
      <w:r w:rsidR="00735EAA" w:rsidRPr="00A34CD9">
        <w:rPr>
          <w:rFonts w:cstheme="minorHAnsi"/>
          <w:lang w:val="en-GB"/>
        </w:rPr>
        <w:fldChar w:fldCharType="begin" w:fldLock="1"/>
      </w:r>
      <w:r w:rsidR="00735EAA" w:rsidRPr="00A34CD9">
        <w:rPr>
          <w:rFonts w:cstheme="minorHAnsi"/>
          <w:lang w:val="en-GB"/>
        </w:rPr>
        <w:instrText>ADDIN CSL_CITATION {"citationItems":[{"id":"ITEM-1","itemData":{"DOI":"http://doi.org/10.17895/ices.pub.7471 Editors","author":[{"dropping-particle":"","family":"ICES","given":"","non-dropping-particle":"","parse-names":false,"suffix":""}],"id":"ITEM-1","issue":"81","issued":{"date-parts":[["2020"]]},"number-of-pages":"209","title":"Working Group on Bycatch of Protected Species (WGBYC). ICES Scientific Reports","type":"report","volume":"2"},"uris":["http://www.mendeley.com/documents/?uuid=e5971960-9bf9-4319-8f13-6ada23b00772"]}],"mendeley":{"formattedCitation":"(ICES, 2020)","plainTextFormattedCitation":"(ICES, 2020)","previouslyFormattedCitation":"(ICES, 2020)"},"properties":{"noteIndex":0},"schema":"https://github.com/citation-style-language/schema/raw/master/csl-citation.json"}</w:instrText>
      </w:r>
      <w:r w:rsidR="00735EAA" w:rsidRPr="00A34CD9">
        <w:rPr>
          <w:rFonts w:cstheme="minorHAnsi"/>
          <w:lang w:val="en-GB"/>
        </w:rPr>
        <w:fldChar w:fldCharType="separate"/>
      </w:r>
      <w:r w:rsidR="00735EAA" w:rsidRPr="00A34CD9">
        <w:rPr>
          <w:rFonts w:cstheme="minorHAnsi"/>
          <w:noProof/>
          <w:lang w:val="en-GB"/>
        </w:rPr>
        <w:t>(ICES, 2020)</w:t>
      </w:r>
      <w:r w:rsidR="00735EAA" w:rsidRPr="00A34CD9">
        <w:rPr>
          <w:rFonts w:cstheme="minorHAnsi"/>
          <w:lang w:val="en-GB"/>
        </w:rPr>
        <w:fldChar w:fldCharType="end"/>
      </w:r>
      <w:r w:rsidR="00735EAA" w:rsidRPr="00A34CD9">
        <w:rPr>
          <w:rFonts w:cstheme="minorHAnsi"/>
          <w:lang w:val="en-GB"/>
        </w:rPr>
        <w:t xml:space="preserve">. The great shearwater, as a shallow-diver species </w:t>
      </w:r>
      <w:r w:rsidR="00735EAA" w:rsidRPr="00A34CD9">
        <w:rPr>
          <w:rFonts w:cstheme="minorHAnsi"/>
          <w:lang w:val="en-GB"/>
        </w:rPr>
        <w:fldChar w:fldCharType="begin" w:fldLock="1"/>
      </w:r>
      <w:r w:rsidR="00735EAA" w:rsidRPr="00A34CD9">
        <w:rPr>
          <w:rFonts w:cstheme="minorHAnsi"/>
          <w:lang w:val="en-GB"/>
        </w:rPr>
        <w:instrText>ADDIN CSL_CITATION {"citationItems":[{"id":"ITEM-1","itemData":{"DOI":"10.1371/journal.pone.0015508","ISSN":"19326203","abstract":"Among the most widespread seabirds in the world, shearwaters of the genus Puffinus are also some of the deepest diving members of the Procellariiformes. Maximum diving depths are known for several Puffinus species, but dive depths or diving behaviour have never been recorded for great shearwaters (P. gravis), the largest member of this genus. This study reports the first high sampling rate (2 s) of depth and diving behaviour for Puffinus shearwaters.","author":[{"dropping-particle":"","family":"Ronconi","given":"R.A.","non-dropping-particle":"","parse-names":false,"suffix":""},{"dropping-particle":"","family":"Ryan","given":"P.G.","non-dropping-particle":"","parse-names":false,"suffix":""},{"dropping-particle":"","family":"Ropert-Coudert","given":"Y.","non-dropping-particle":"","parse-names":false,"suffix":""}],"container-title":"PLoS ONE","editor":[{"dropping-particle":"","family":"Peter","given":"Hans-Ulrich","non-dropping-particle":"","parse-names":false,"suffix":""}],"id":"ITEM-1","issue":"11","issued":{"date-parts":[["2010","11","30"]]},"page":"e15508","title":"Diving of great shearwaters (Puffinus gravis) in cold and warm water regions of the South Atlantic Ocean","type":"article-journal","volume":"5"},"uris":["http://www.mendeley.com/documents/?uuid=92b85aed-b74d-3189-8892-fb03c5e41c24"]}],"mendeley":{"formattedCitation":"(Ronconi &lt;i&gt;et al.&lt;/i&gt;, 2010)","plainTextFormattedCitation":"(Ronconi et al., 2010)","previouslyFormattedCitation":"(Ronconi &lt;i&gt;et al.&lt;/i&gt;, 2010)"},"properties":{"noteIndex":0},"schema":"https://github.com/citation-style-language/schema/raw/master/csl-citation.json"}</w:instrText>
      </w:r>
      <w:r w:rsidR="00735EAA" w:rsidRPr="00A34CD9">
        <w:rPr>
          <w:rFonts w:cstheme="minorHAnsi"/>
          <w:lang w:val="en-GB"/>
        </w:rPr>
        <w:fldChar w:fldCharType="separate"/>
      </w:r>
      <w:r w:rsidR="00735EAA" w:rsidRPr="00A34CD9">
        <w:rPr>
          <w:rFonts w:cstheme="minorHAnsi"/>
          <w:noProof/>
          <w:lang w:val="en-GB"/>
        </w:rPr>
        <w:t xml:space="preserve">(Ronconi </w:t>
      </w:r>
      <w:r w:rsidR="00735EAA" w:rsidRPr="00A34CD9">
        <w:rPr>
          <w:rFonts w:cstheme="minorHAnsi"/>
          <w:i/>
          <w:noProof/>
          <w:lang w:val="en-GB"/>
        </w:rPr>
        <w:t>et al.</w:t>
      </w:r>
      <w:r w:rsidR="00735EAA" w:rsidRPr="00A34CD9">
        <w:rPr>
          <w:rFonts w:cstheme="minorHAnsi"/>
          <w:noProof/>
          <w:lang w:val="en-GB"/>
        </w:rPr>
        <w:t>, 2010)</w:t>
      </w:r>
      <w:r w:rsidR="00735EAA" w:rsidRPr="00A34CD9">
        <w:rPr>
          <w:rFonts w:cstheme="minorHAnsi"/>
          <w:lang w:val="en-GB"/>
        </w:rPr>
        <w:fldChar w:fldCharType="end"/>
      </w:r>
      <w:r w:rsidR="00735EAA" w:rsidRPr="00A34CD9">
        <w:rPr>
          <w:rFonts w:cstheme="minorHAnsi"/>
          <w:lang w:val="en-GB"/>
        </w:rPr>
        <w:t xml:space="preserve"> is captured when tried to capture the bait. In the case of the </w:t>
      </w:r>
      <w:r w:rsidR="00796C8B" w:rsidRPr="00A34CD9">
        <w:rPr>
          <w:rFonts w:cstheme="minorHAnsi"/>
          <w:lang w:val="en-GB"/>
        </w:rPr>
        <w:t xml:space="preserve">metiers of the </w:t>
      </w:r>
      <w:r w:rsidR="00735EAA" w:rsidRPr="00A34CD9">
        <w:rPr>
          <w:rFonts w:cstheme="minorHAnsi"/>
          <w:lang w:val="en-GB"/>
        </w:rPr>
        <w:t xml:space="preserve">artisanal tuna fisheries </w:t>
      </w:r>
      <w:r w:rsidR="006D3DFB">
        <w:rPr>
          <w:rFonts w:cstheme="minorHAnsi"/>
          <w:lang w:val="en-GB"/>
        </w:rPr>
        <w:t>at</w:t>
      </w:r>
      <w:r w:rsidR="00735EAA" w:rsidRPr="00A34CD9">
        <w:rPr>
          <w:rFonts w:cstheme="minorHAnsi"/>
          <w:lang w:val="en-GB"/>
        </w:rPr>
        <w:t xml:space="preserve"> the </w:t>
      </w:r>
      <w:proofErr w:type="spellStart"/>
      <w:r w:rsidR="00735EAA" w:rsidRPr="00A34CD9">
        <w:rPr>
          <w:rFonts w:cstheme="minorHAnsi"/>
          <w:lang w:val="en-GB"/>
        </w:rPr>
        <w:t>BoB</w:t>
      </w:r>
      <w:proofErr w:type="spellEnd"/>
      <w:r w:rsidR="00735EAA" w:rsidRPr="00A34CD9">
        <w:rPr>
          <w:rFonts w:cstheme="minorHAnsi"/>
          <w:lang w:val="en-GB"/>
        </w:rPr>
        <w:t>, although both</w:t>
      </w:r>
      <w:r w:rsidR="00A55344" w:rsidRPr="00A34CD9">
        <w:rPr>
          <w:rFonts w:cstheme="minorHAnsi"/>
          <w:lang w:val="en-GB"/>
        </w:rPr>
        <w:t xml:space="preserve"> </w:t>
      </w:r>
      <w:r w:rsidR="00735EAA" w:rsidRPr="00A34CD9">
        <w:rPr>
          <w:rFonts w:cstheme="minorHAnsi"/>
          <w:lang w:val="en-GB"/>
        </w:rPr>
        <w:t>rely on surface fishing gears facilitating the access to baited hooks, the</w:t>
      </w:r>
      <w:r w:rsidR="0080395F" w:rsidRPr="00A34CD9">
        <w:rPr>
          <w:rFonts w:cstheme="minorHAnsi"/>
          <w:lang w:val="en-GB"/>
        </w:rPr>
        <w:t xml:space="preserve"> capture rate and the </w:t>
      </w:r>
      <w:r w:rsidR="00DD196A" w:rsidRPr="00A34CD9">
        <w:rPr>
          <w:rFonts w:cstheme="minorHAnsi"/>
          <w:lang w:val="en-GB"/>
        </w:rPr>
        <w:t>potential risk</w:t>
      </w:r>
      <w:r w:rsidR="00735EAA" w:rsidRPr="00A34CD9">
        <w:rPr>
          <w:rFonts w:cstheme="minorHAnsi"/>
          <w:lang w:val="en-GB"/>
        </w:rPr>
        <w:t xml:space="preserve"> </w:t>
      </w:r>
      <w:r w:rsidR="00D91CA7" w:rsidRPr="00A34CD9">
        <w:rPr>
          <w:rFonts w:cstheme="minorHAnsi"/>
          <w:lang w:val="en-GB"/>
        </w:rPr>
        <w:t>were</w:t>
      </w:r>
      <w:r w:rsidR="00735EAA" w:rsidRPr="00A34CD9">
        <w:rPr>
          <w:rFonts w:cstheme="minorHAnsi"/>
          <w:lang w:val="en-GB"/>
        </w:rPr>
        <w:t xml:space="preserve"> low</w:t>
      </w:r>
      <w:r w:rsidR="00B8023E" w:rsidRPr="00A34CD9">
        <w:rPr>
          <w:rFonts w:cstheme="minorHAnsi"/>
          <w:lang w:val="en-GB"/>
        </w:rPr>
        <w:t>er</w:t>
      </w:r>
      <w:r w:rsidR="000150FC" w:rsidRPr="00A34CD9">
        <w:rPr>
          <w:rFonts w:cstheme="minorHAnsi"/>
          <w:lang w:val="en-GB"/>
        </w:rPr>
        <w:t xml:space="preserve"> </w:t>
      </w:r>
      <w:r w:rsidR="00735EAA" w:rsidRPr="00A34CD9">
        <w:rPr>
          <w:rFonts w:cstheme="minorHAnsi"/>
          <w:lang w:val="en-GB"/>
        </w:rPr>
        <w:t>compared to other gears</w:t>
      </w:r>
      <w:r w:rsidR="00006A7C" w:rsidRPr="00A34CD9">
        <w:rPr>
          <w:rFonts w:cstheme="minorHAnsi"/>
          <w:lang w:val="en-GB"/>
        </w:rPr>
        <w:t>,</w:t>
      </w:r>
      <w:r w:rsidR="00735EAA" w:rsidRPr="00A34CD9">
        <w:rPr>
          <w:rFonts w:cstheme="minorHAnsi"/>
          <w:lang w:val="en-GB"/>
        </w:rPr>
        <w:t xml:space="preserve"> e.g., longline </w:t>
      </w:r>
      <w:r w:rsidR="00735EAA" w:rsidRPr="00A34CD9">
        <w:rPr>
          <w:rFonts w:cstheme="minorHAnsi"/>
          <w:lang w:val="en-GB"/>
        </w:rPr>
        <w:fldChar w:fldCharType="begin" w:fldLock="1"/>
      </w:r>
      <w:r w:rsidR="00735EAA" w:rsidRPr="00A34CD9">
        <w:rPr>
          <w:rFonts w:cstheme="minorHAnsi"/>
          <w:lang w:val="en-GB"/>
        </w:rPr>
        <w:instrText>ADDIN CSL_CITATION {"citationItems":[{"id":"ITEM-1","itemData":{"DOI":"10.3354/esr00347","ISBN":"1863-5407; 1613-4796","ISSN":"18635407","abstract":"Bycatch in longline fisheries is believed to govern the adverse conservation status of many seabird species, but no comprehensive global assessment has been undertaken. We reviewed the extent of seabird bycatch in all longline fisheries for which data are available. Despite the many inadequacies and assumptions contained therein, we estimated that at least 160 000 (and potentially in excess of 320000) seabirds are killed annually. Most frequently caught are albatrosses, petrels and shearwaters, with current levels of mortality liable to be unsustainable for some species and popula- tions. Where realistic comparisons can be made, with data from the 1990s, there is evidence of sub- stantially reduced bycatch in some key fisheries. Reductions stem from decreased fishing effort (especially in illegal, unreported and unregulated fishing in the Southern Ocean), and greater and more effective use of technical mitigation measures, notably in demersal fisheries. However, bycatch problems in other fisheries have also emerged. Current concerns include those with previously unidentified bycatch problems (e.g. Spanish Gran Sol demersal fleet) and those where bycatch was identified, but where persistent data gaps prevented adequate assessments of the scale of the impact (e.g. Nordic demersal fisheries). Future assessments will only achieve greater precision when mini- mum standards of data collection, reporting and analysis are implemented by longline fishing fleets and the relevant regional fishery management organisations. Those fisheries in which bycatch has been substantially reduced demonstrate that the problem of seabird bycatch could be reduced to negligible proportions by enforced implementation of appropriate best-practice mitigation devices and techniques.","author":[{"dropping-particle":"","family":"Anderson","given":"Orea R J","non-dropping-particle":"","parse-names":false,"suffix":""},{"dropping-particle":"","family":"Small","given":"Cleo J.","non-dropping-particle":"","parse-names":false,"suffix":""},{"dropping-particle":"","family":"Croxall","given":"John P.","non-dropping-particle":"","parse-names":false,"suffix":""},{"dropping-particle":"","family":"Dunn","given":"Euan K.","non-dropping-particle":"","parse-names":false,"suffix":""},{"dropping-particle":"","family":"Sullivan","given":"Benedict J.","non-dropping-particle":"","parse-names":false,"suffix":""},{"dropping-particle":"","family":"Yates","given":"Oliver","non-dropping-particle":"","parse-names":false,"suffix":""},{"dropping-particle":"","family":"Black","given":"Andrew","non-dropping-particle":"","parse-names":false,"suffix":""}],"container-title":"Endangered Species Research","id":"ITEM-1","issued":{"date-parts":[["2011"]]},"page":"91-106","title":"Global seabird bycatch in longline fisheries","type":"article-journal","volume":"14"},"uris":["http://www.mendeley.com/documents/?uuid=7da0188e-f310-4e64-8c9b-26774f43c27b"]},{"id":"ITEM-2","itemData":{"DOI":"10.1038/s41598-021-00078-z","ISBN":"0123456789","ISSN":"20452322","PMID":"34667197","abstract":"Bycatch in fisheries is a major threat to many seabird species. Understanding and predicting spatiotemporal changes in seabird bycatch from fisheries might be the key to mitigation. Inter-annual spatiotemporal patterns are evident in seabird bycatch of the U.S. Atlantic pelagic longline fishery monitored by the National Marine Fisheries Service Pelagic Observer Program (POP) since 1992. A newly developed fast computing Bayesian approximation method provided the opportunity to use POP data to understand spatiotemporal patterns, including temporal changes in location of seabird bycatch hotspots. A Bayesian model was developed to capture the inherent spatiotemporal structure in seabird bycatch and reduce the bias caused by physical barriers such as coastlines. The model was applied to the logbook data to estimate seabird bycatch for each longline set, and the mid-Atlantic bight and northeast coast were the fishing areas with the highest fleet bycatch estimate. Inter-annual changes in predicted bycatch hotspots were correlated with Gulf Stream meanders, suggesting that predictable patterns in Gulf Stream meanders could enable advanced planning of fishing fleet schedules and areas of operation. The greater the Gulf Stream North Wall index, the more northerly the seabird bycatch hotspot two years later. A simulation study suggested that switching fishing fleets from the hindcasted actual bycatch hotspot to neighboring areas and/or different periods could be an efficient strategy to decrease seabird bycatch while largely maintaining fishers’ benefit.","author":[{"dropping-particle":"","family":"Bi","given":"Rujia","non-dropping-particle":"","parse-names":false,"suffix":""},{"dropping-particle":"","family":"Jiao","given":"Yan","non-dropping-particle":"","parse-names":false,"suffix":""},{"dropping-particle":"","family":"Browder","given":"Joan A.","non-dropping-particle":"","parse-names":false,"suffix":""}],"container-title":"Scientific Reports","id":"ITEM-2","issue":"1","issued":{"date-parts":[["2021"]]},"page":"1-15","publisher":"Nature Publishing Group UK","title":"Climate driven spatiotemporal variations in seabird bycatch hotspots and implications for seabird bycatch mitigation","type":"article-journal","volume":"11"},"uris":["http://www.mendeley.com/documents/?uuid=80a64461-0683-4b91-9ecd-fe521452325d"]},{"id":"ITEM-3","itemData":{"DOI":"10.3354/esr00115","ISSN":"18635407","abstract":"The southwestern Atlantic Ocean is an important foraging ground throughout the year for several albatross and petrel species. Longline fishing fleets in the region currently pose the main threat for this group of seabirds at sea, and conservation measures are urgently required. We present information on bycatch rates of seabirds in the Brazilian domestic pelagic longline fishery from 2001 to 2007, and review bycatch rates reported for the demersal and pelagic longline fisheries in the southwestern Atlantic Ocean. Overall seabird capture rate for the Brazilian pelagic longline fleet during 63 cruises (656 sets and 788 446 hooks) was 0.229 birds per 1000 hooks, varying from 0 to 0.542 according to season. Capture rates were higher between June and November (cold season) and affected mainly the black-browed albatross Thalassarche melanophris (55% of birds captured), the white-chinned petrel Procellaria aequinoctialis, the spectacled petrel Procellaria conspicillata and the Atlantic yellow-nosed albatross Thalassarche chlororhynchos. Capture rates previously reported in the SW Atlantic varied from 0 to 5.03 birds per 1000 hooks, with those reports based on logbooks or fishermen interviews tending to underestimate capture rates, whereas those based on small numbers of hooks or short time periods tend to greatly overestimate rates in both pelagic and demersal longline fisheries. Previous studies have played an important role in delimiting the seabird bycatch problem, forming a baseline for mitigation actions and serving as a guide for improvements in data collection. However, data collected by onboard seabird-dedicated observers are more reliable, provide a greater range of information relating to bycatch, and form a baseline for more robust analysis and addressing further questions. The current study highlights the stochastic nature of seabird fatalities in longline fisheries and the need for extensive sampling to obtain realistic estimates of capture rates covering different years, seasons, vessels, and the range of fishing gear and practices. © Inter-Research 2008.","author":[{"dropping-particle":"","family":"Bugoni","given":"Leandro","non-dropping-particle":"","parse-names":false,"suffix":""},{"dropping-particle":"","family":"Mancini","given":"Patricia L.","non-dropping-particle":"","parse-names":false,"suffix":""},{"dropping-particle":"","family":"Monteiro","given":"Danielle S.","non-dropping-particle":"","parse-names":false,"suffix":""},{"dropping-particle":"","family":"Nascimento","given":"Loretha","non-dropping-particle":"","parse-names":false,"suffix":""},{"dropping-particle":"","family":"Neves","given":"Tatiana S.","non-dropping-particle":"","parse-names":false,"suffix":""}],"container-title":"Endangered Species Research","id":"ITEM-3","issue":"2-3","issued":{"date-parts":[["2008"]]},"page":"137-147","title":"Seabird bycatch in the Brazilian pelagic longline fishery and a review of capture rates in the southwestern Atlantic Ocean","type":"article-journal","volume":"5"},"uris":["http://www.mendeley.com/documents/?uuid=2441b51c-3271-3eeb-83bc-587415a88185"]}],"mendeley":{"formattedCitation":"(Bugoni &lt;i&gt;et al.&lt;/i&gt;, 2008b; Anderson &lt;i&gt;et al.&lt;/i&gt;, 2011; Bi &lt;i&gt;et al.&lt;/i&gt;, 2021)","plainTextFormattedCitation":"(Bugoni et al., 2008b; Anderson et al., 2011; Bi et al., 2021)","previouslyFormattedCitation":"(Bugoni &lt;i&gt;et al.&lt;/i&gt;, 2008b; Anderson &lt;i&gt;et al.&lt;/i&gt;, 2011; Bi &lt;i&gt;et al.&lt;/i&gt;, 2021)"},"properties":{"noteIndex":0},"schema":"https://github.com/citation-style-language/schema/raw/master/csl-citation.json"}</w:instrText>
      </w:r>
      <w:r w:rsidR="00735EAA" w:rsidRPr="00A34CD9">
        <w:rPr>
          <w:rFonts w:cstheme="minorHAnsi"/>
          <w:lang w:val="en-GB"/>
        </w:rPr>
        <w:fldChar w:fldCharType="separate"/>
      </w:r>
      <w:r w:rsidR="00735EAA" w:rsidRPr="00A34CD9">
        <w:rPr>
          <w:rFonts w:cstheme="minorHAnsi"/>
          <w:noProof/>
          <w:lang w:val="en-GB"/>
        </w:rPr>
        <w:t xml:space="preserve">(Bugoni </w:t>
      </w:r>
      <w:r w:rsidR="00735EAA" w:rsidRPr="00A34CD9">
        <w:rPr>
          <w:rFonts w:cstheme="minorHAnsi"/>
          <w:i/>
          <w:noProof/>
          <w:lang w:val="en-GB"/>
        </w:rPr>
        <w:t>et al.</w:t>
      </w:r>
      <w:r w:rsidR="00735EAA" w:rsidRPr="00A34CD9">
        <w:rPr>
          <w:rFonts w:cstheme="minorHAnsi"/>
          <w:noProof/>
          <w:lang w:val="en-GB"/>
        </w:rPr>
        <w:t xml:space="preserve">, 2008b; Anderson </w:t>
      </w:r>
      <w:r w:rsidR="00735EAA" w:rsidRPr="00A34CD9">
        <w:rPr>
          <w:rFonts w:cstheme="minorHAnsi"/>
          <w:i/>
          <w:noProof/>
          <w:lang w:val="en-GB"/>
        </w:rPr>
        <w:t>et al.</w:t>
      </w:r>
      <w:r w:rsidR="00735EAA" w:rsidRPr="00A34CD9">
        <w:rPr>
          <w:rFonts w:cstheme="minorHAnsi"/>
          <w:noProof/>
          <w:lang w:val="en-GB"/>
        </w:rPr>
        <w:t xml:space="preserve">, 2011; Bi </w:t>
      </w:r>
      <w:r w:rsidR="00735EAA" w:rsidRPr="00A34CD9">
        <w:rPr>
          <w:rFonts w:cstheme="minorHAnsi"/>
          <w:i/>
          <w:noProof/>
          <w:lang w:val="en-GB"/>
        </w:rPr>
        <w:t>et al.</w:t>
      </w:r>
      <w:r w:rsidR="00735EAA" w:rsidRPr="00A34CD9">
        <w:rPr>
          <w:rFonts w:cstheme="minorHAnsi"/>
          <w:noProof/>
          <w:lang w:val="en-GB"/>
        </w:rPr>
        <w:t>, 2021)</w:t>
      </w:r>
      <w:r w:rsidR="00735EAA" w:rsidRPr="00A34CD9">
        <w:rPr>
          <w:rFonts w:cstheme="minorHAnsi"/>
          <w:lang w:val="en-GB"/>
        </w:rPr>
        <w:fldChar w:fldCharType="end"/>
      </w:r>
      <w:r w:rsidR="00735EAA" w:rsidRPr="00A34CD9">
        <w:rPr>
          <w:rFonts w:cstheme="minorHAnsi"/>
          <w:lang w:val="en-GB"/>
        </w:rPr>
        <w:t xml:space="preserve"> or gillnets </w:t>
      </w:r>
      <w:r w:rsidR="00735EAA" w:rsidRPr="00A34CD9">
        <w:rPr>
          <w:rFonts w:cstheme="minorHAnsi"/>
          <w:lang w:val="en-GB"/>
        </w:rPr>
        <w:fldChar w:fldCharType="begin" w:fldLock="1"/>
      </w:r>
      <w:r w:rsidR="00735EAA" w:rsidRPr="00A34CD9">
        <w:rPr>
          <w:rFonts w:cstheme="minorHAnsi"/>
          <w:lang w:val="en-GB"/>
        </w:rPr>
        <w:instrText>ADDIN CSL_CITATION {"citationItems":[{"id":"ITEM-1","itemData":{"DOI":"10.1111/conl.12178","ISSN":"1755263X","abstract":"Identifying the overlap of commercial fishing grounds and seabird habitat can suggest areas of high bycatch risk and inform management and mitigation measures. We used Bayesian state space modeling to describe the movements of 10 satellite-tagged Great Shearwaters and a bivariate kernel density technique to investigate spatial overlap with commercial fishing effort to predict areas of high bycatch in the Gulf of Maine. We then used contemporaneous fishery observer data to test the validity of our predictions, highlighting an area constituting 1% of the Gulf of Maine as having the highest bycatch risk that accounted for 50% of observed takes. Fishery observer data also provided insights into characteristics of the seabird-fishery interactions. Our results indicate that a relatively small number of satellite-tagged seabirds, when combined with fishery-dependent data, can lead to identifying high-bycatch areas, particular fishing practices that might increase risk, and fishing communities that could be targeted for education/mitigation.","author":[{"dropping-particle":"","family":"Hatch","given":"Joshua M.","non-dropping-particle":"","parse-names":false,"suffix":""},{"dropping-particle":"","family":"Wiley","given":"David","non-dropping-particle":"","parse-names":false,"suffix":""},{"dropping-particle":"","family":"Murray","given":"Kimberly T.","non-dropping-particle":"","parse-names":false,"suffix":""},{"dropping-particle":"","family":"Welch","given":"Linda","non-dropping-particle":"","parse-names":false,"suffix":""}],"container-title":"Conservation Letters","id":"ITEM-1","issue":"1","issued":{"date-parts":[["2016"]]},"page":"43-50","title":"Integrating Satellite-Tagged Seabird and Fishery-Dependent Data: A Case Study of Great Shearwaters (Puffinus gravis) and the U.S. New England Sink Gillnet Fishery","type":"article-journal","volume":"9"},"uris":["http://www.mendeley.com/documents/?uuid=ae0090db-442b-4e04-94bb-dfdde69694b0"]}],"mendeley":{"formattedCitation":"(Hatch &lt;i&gt;et al.&lt;/i&gt;, 2016)","plainTextFormattedCitation":"(Hatch et al., 2016)","previouslyFormattedCitation":"(Hatch &lt;i&gt;et al.&lt;/i&gt;, 2016)"},"properties":{"noteIndex":0},"schema":"https://github.com/citation-style-language/schema/raw/master/csl-citation.json"}</w:instrText>
      </w:r>
      <w:r w:rsidR="00735EAA" w:rsidRPr="00A34CD9">
        <w:rPr>
          <w:rFonts w:cstheme="minorHAnsi"/>
          <w:lang w:val="en-GB"/>
        </w:rPr>
        <w:fldChar w:fldCharType="separate"/>
      </w:r>
      <w:r w:rsidR="00735EAA" w:rsidRPr="00A34CD9">
        <w:rPr>
          <w:rFonts w:cstheme="minorHAnsi"/>
          <w:noProof/>
          <w:lang w:val="en-GB"/>
        </w:rPr>
        <w:t xml:space="preserve">(Hatch </w:t>
      </w:r>
      <w:r w:rsidR="00735EAA" w:rsidRPr="00A34CD9">
        <w:rPr>
          <w:rFonts w:cstheme="minorHAnsi"/>
          <w:i/>
          <w:noProof/>
          <w:lang w:val="en-GB"/>
        </w:rPr>
        <w:t>et al.</w:t>
      </w:r>
      <w:r w:rsidR="00735EAA" w:rsidRPr="00A34CD9">
        <w:rPr>
          <w:rFonts w:cstheme="minorHAnsi"/>
          <w:noProof/>
          <w:lang w:val="en-GB"/>
        </w:rPr>
        <w:t>, 2016)</w:t>
      </w:r>
      <w:r w:rsidR="00735EAA" w:rsidRPr="00A34CD9">
        <w:rPr>
          <w:rFonts w:cstheme="minorHAnsi"/>
          <w:lang w:val="en-GB"/>
        </w:rPr>
        <w:fldChar w:fldCharType="end"/>
      </w:r>
      <w:r w:rsidR="00735EAA" w:rsidRPr="00A34CD9">
        <w:rPr>
          <w:rFonts w:cstheme="minorHAnsi"/>
          <w:lang w:val="en-GB"/>
        </w:rPr>
        <w:t xml:space="preserve">. </w:t>
      </w:r>
      <w:r w:rsidR="00AB6A11" w:rsidRPr="00A34CD9">
        <w:rPr>
          <w:rFonts w:cstheme="minorHAnsi"/>
          <w:lang w:val="en-GB"/>
        </w:rPr>
        <w:t>Furthermore, it is noteworthy that although capture rates of both metiers are low</w:t>
      </w:r>
      <w:r w:rsidR="00A55344" w:rsidRPr="00A34CD9">
        <w:rPr>
          <w:rFonts w:cstheme="minorHAnsi"/>
          <w:lang w:val="en-GB"/>
        </w:rPr>
        <w:t>,</w:t>
      </w:r>
      <w:r w:rsidR="00AB6A11" w:rsidRPr="00A34CD9">
        <w:rPr>
          <w:rFonts w:cstheme="minorHAnsi"/>
          <w:lang w:val="en-GB"/>
        </w:rPr>
        <w:t xml:space="preserve"> the</w:t>
      </w:r>
      <w:r w:rsidR="002D6B04" w:rsidRPr="00A34CD9">
        <w:rPr>
          <w:rFonts w:cstheme="minorHAnsi"/>
          <w:lang w:val="en-GB"/>
        </w:rPr>
        <w:t xml:space="preserve"> risk posed by</w:t>
      </w:r>
      <w:r w:rsidR="00AB6A11" w:rsidRPr="00A34CD9">
        <w:rPr>
          <w:rFonts w:cstheme="minorHAnsi"/>
          <w:lang w:val="en-GB"/>
        </w:rPr>
        <w:t xml:space="preserve"> </w:t>
      </w:r>
      <w:proofErr w:type="spellStart"/>
      <w:r w:rsidR="00AD3817" w:rsidRPr="00A34CD9">
        <w:rPr>
          <w:rFonts w:cstheme="minorHAnsi"/>
          <w:lang w:val="en-GB"/>
        </w:rPr>
        <w:t>baitboats</w:t>
      </w:r>
      <w:proofErr w:type="spellEnd"/>
      <w:r w:rsidR="00AD3817" w:rsidRPr="00A34CD9">
        <w:rPr>
          <w:rFonts w:cstheme="minorHAnsi"/>
          <w:lang w:val="en-GB"/>
        </w:rPr>
        <w:t xml:space="preserve"> (LHP)</w:t>
      </w:r>
      <w:r w:rsidR="00AB6A11" w:rsidRPr="00A34CD9">
        <w:rPr>
          <w:rFonts w:cstheme="minorHAnsi"/>
          <w:lang w:val="en-GB"/>
        </w:rPr>
        <w:t xml:space="preserve"> </w:t>
      </w:r>
      <w:r w:rsidR="002D6B04" w:rsidRPr="00A34CD9">
        <w:rPr>
          <w:rFonts w:cstheme="minorHAnsi"/>
          <w:lang w:val="en-GB"/>
        </w:rPr>
        <w:t>are</w:t>
      </w:r>
      <w:r w:rsidR="00AB6A11" w:rsidRPr="00A34CD9">
        <w:rPr>
          <w:rFonts w:cstheme="minorHAnsi"/>
          <w:lang w:val="en-GB"/>
        </w:rPr>
        <w:t xml:space="preserve"> lower than</w:t>
      </w:r>
      <w:r w:rsidR="002D6B04" w:rsidRPr="00A34CD9">
        <w:rPr>
          <w:rFonts w:cstheme="minorHAnsi"/>
          <w:lang w:val="en-GB"/>
        </w:rPr>
        <w:t xml:space="preserve"> the risk </w:t>
      </w:r>
      <w:r w:rsidR="002D6B04" w:rsidRPr="00A34CD9">
        <w:rPr>
          <w:rFonts w:cstheme="minorHAnsi"/>
          <w:lang w:val="en-GB"/>
        </w:rPr>
        <w:lastRenderedPageBreak/>
        <w:t>posed</w:t>
      </w:r>
      <w:r w:rsidR="00AB6A11" w:rsidRPr="00A34CD9">
        <w:rPr>
          <w:rFonts w:cstheme="minorHAnsi"/>
          <w:lang w:val="en-GB"/>
        </w:rPr>
        <w:t xml:space="preserve"> by </w:t>
      </w:r>
      <w:r w:rsidR="00AD3817" w:rsidRPr="00A34CD9">
        <w:rPr>
          <w:rFonts w:cstheme="minorHAnsi"/>
          <w:lang w:val="en-GB"/>
        </w:rPr>
        <w:t>trollers (LTL)</w:t>
      </w:r>
      <w:r w:rsidR="00AB6A11" w:rsidRPr="00A34CD9">
        <w:rPr>
          <w:rFonts w:cstheme="minorHAnsi"/>
          <w:lang w:val="en-GB"/>
        </w:rPr>
        <w:t xml:space="preserve"> (</w:t>
      </w:r>
      <w:r w:rsidR="00471534" w:rsidRPr="00A34CD9">
        <w:rPr>
          <w:rFonts w:cstheme="minorHAnsi"/>
          <w:lang w:val="en-GB"/>
        </w:rPr>
        <w:t>R =</w:t>
      </w:r>
      <w:r w:rsidR="00471534" w:rsidRPr="00A34CD9">
        <w:rPr>
          <w:lang w:val="en-GB"/>
        </w:rPr>
        <w:t xml:space="preserve"> </w:t>
      </w:r>
      <w:r w:rsidR="00471534" w:rsidRPr="00A34CD9">
        <w:rPr>
          <w:rFonts w:cstheme="minorHAnsi"/>
          <w:lang w:val="en-GB"/>
        </w:rPr>
        <w:t>2.70 and 3.12, respectively</w:t>
      </w:r>
      <w:r w:rsidR="00AB6A11" w:rsidRPr="00A34CD9">
        <w:rPr>
          <w:rFonts w:cstheme="minorHAnsi"/>
          <w:lang w:val="en-GB"/>
        </w:rPr>
        <w:t>).</w:t>
      </w:r>
      <w:r w:rsidR="00B61A42" w:rsidRPr="00A34CD9">
        <w:rPr>
          <w:rFonts w:cstheme="minorHAnsi"/>
          <w:lang w:val="en-GB"/>
        </w:rPr>
        <w:t xml:space="preserve"> </w:t>
      </w:r>
      <w:r w:rsidR="00794814" w:rsidRPr="00A34CD9">
        <w:rPr>
          <w:rFonts w:cstheme="minorHAnsi"/>
          <w:lang w:val="en-GB"/>
        </w:rPr>
        <w:t xml:space="preserve">In the case of </w:t>
      </w:r>
      <w:proofErr w:type="spellStart"/>
      <w:r w:rsidR="00794814" w:rsidRPr="00A34CD9">
        <w:rPr>
          <w:rFonts w:cstheme="minorHAnsi"/>
          <w:lang w:val="en-GB"/>
        </w:rPr>
        <w:t>baitboats</w:t>
      </w:r>
      <w:proofErr w:type="spellEnd"/>
      <w:r w:rsidR="00794814" w:rsidRPr="00A34CD9">
        <w:rPr>
          <w:rFonts w:cstheme="minorHAnsi"/>
          <w:lang w:val="en-GB"/>
        </w:rPr>
        <w:t>, shearwaters are frightened away by the movement of the lines but in the case of trollers, the risk of bycatch or collision is higher</w:t>
      </w:r>
      <w:r w:rsidR="00AD3817">
        <w:rPr>
          <w:rFonts w:cstheme="minorHAnsi"/>
          <w:lang w:val="en-GB"/>
        </w:rPr>
        <w:t xml:space="preserve"> due to the deployment of the gear </w:t>
      </w:r>
      <w:r w:rsidR="00794814" w:rsidRPr="00A34CD9">
        <w:rPr>
          <w:rFonts w:cstheme="minorHAnsi"/>
          <w:lang w:val="en-GB"/>
        </w:rPr>
        <w:t>20-50 m far from the boat</w:t>
      </w:r>
      <w:r w:rsidR="00AD3817">
        <w:rPr>
          <w:rFonts w:cstheme="minorHAnsi"/>
          <w:lang w:val="en-GB"/>
        </w:rPr>
        <w:t>,</w:t>
      </w:r>
      <w:r w:rsidR="00794814" w:rsidRPr="00A34CD9">
        <w:rPr>
          <w:rFonts w:cstheme="minorHAnsi"/>
          <w:lang w:val="en-GB"/>
        </w:rPr>
        <w:t xml:space="preserve"> preventing shearwaters from scaring movements and facilitating the plunge to the bait.</w:t>
      </w:r>
    </w:p>
    <w:p w14:paraId="2558AB54" w14:textId="5A1A7D6C" w:rsidR="006C701D" w:rsidRPr="00A34CD9" w:rsidRDefault="00E852FB" w:rsidP="002A528E">
      <w:pPr>
        <w:suppressLineNumbers/>
        <w:spacing w:line="480" w:lineRule="auto"/>
        <w:jc w:val="both"/>
        <w:rPr>
          <w:rFonts w:cstheme="minorHAnsi"/>
          <w:lang w:val="en-GB"/>
        </w:rPr>
      </w:pPr>
      <w:r w:rsidRPr="00A34CD9">
        <w:rPr>
          <w:lang w:val="en-GB"/>
        </w:rPr>
        <w:t xml:space="preserve">Generally, ERAEF does not generate spatially or temporally explicit risk outputs. </w:t>
      </w:r>
      <w:r w:rsidR="008D003B" w:rsidRPr="00A34CD9">
        <w:rPr>
          <w:lang w:val="en-GB"/>
        </w:rPr>
        <w:t>How</w:t>
      </w:r>
      <w:r w:rsidR="00536D4C" w:rsidRPr="00A34CD9">
        <w:rPr>
          <w:lang w:val="en-GB"/>
        </w:rPr>
        <w:t xml:space="preserve">ever, the PSA applied in this work </w:t>
      </w:r>
      <w:r w:rsidR="003D0FC5" w:rsidRPr="00A34CD9">
        <w:rPr>
          <w:lang w:val="en-GB"/>
        </w:rPr>
        <w:t>allowed</w:t>
      </w:r>
      <w:r w:rsidR="00FF1484" w:rsidRPr="00A34CD9">
        <w:rPr>
          <w:lang w:val="en-GB"/>
        </w:rPr>
        <w:t xml:space="preserve"> </w:t>
      </w:r>
      <w:r w:rsidR="002F230C" w:rsidRPr="00A34CD9">
        <w:rPr>
          <w:lang w:val="en-GB"/>
        </w:rPr>
        <w:t xml:space="preserve">to </w:t>
      </w:r>
      <w:r w:rsidR="00D86853" w:rsidRPr="00A34CD9">
        <w:rPr>
          <w:lang w:val="en-GB"/>
        </w:rPr>
        <w:t xml:space="preserve">combine </w:t>
      </w:r>
      <w:r w:rsidR="000E4D60" w:rsidRPr="00A34CD9">
        <w:rPr>
          <w:lang w:val="en-GB"/>
        </w:rPr>
        <w:t xml:space="preserve">modelled species abundance distribution, </w:t>
      </w:r>
      <w:r w:rsidR="00DA0209" w:rsidRPr="00A34CD9">
        <w:rPr>
          <w:lang w:val="en-GB"/>
        </w:rPr>
        <w:t>fisheries</w:t>
      </w:r>
      <w:r w:rsidR="00471534" w:rsidRPr="00A34CD9">
        <w:rPr>
          <w:lang w:val="en-GB"/>
        </w:rPr>
        <w:t>’</w:t>
      </w:r>
      <w:r w:rsidR="00DA0209" w:rsidRPr="00A34CD9">
        <w:rPr>
          <w:lang w:val="en-GB"/>
        </w:rPr>
        <w:t xml:space="preserve"> </w:t>
      </w:r>
      <w:r w:rsidR="00A34CD9" w:rsidRPr="00A34CD9">
        <w:rPr>
          <w:lang w:val="en-GB"/>
        </w:rPr>
        <w:t>VMS,</w:t>
      </w:r>
      <w:r w:rsidR="000E4D60" w:rsidRPr="00A34CD9">
        <w:rPr>
          <w:lang w:val="en-GB"/>
        </w:rPr>
        <w:t xml:space="preserve"> and logbook data with a </w:t>
      </w:r>
      <w:r w:rsidR="002F1E01" w:rsidRPr="00A34CD9">
        <w:rPr>
          <w:lang w:val="en-GB"/>
        </w:rPr>
        <w:t xml:space="preserve">risk assessment framework to map the distribution of the potential risk. </w:t>
      </w:r>
      <w:r w:rsidR="00AA1B0F" w:rsidRPr="00A34CD9">
        <w:rPr>
          <w:lang w:val="en-GB"/>
        </w:rPr>
        <w:t>In accordance with the PSA plot</w:t>
      </w:r>
      <w:r w:rsidR="00471534" w:rsidRPr="00A34CD9">
        <w:rPr>
          <w:lang w:val="en-GB"/>
        </w:rPr>
        <w:t>,</w:t>
      </w:r>
      <w:r w:rsidR="00AA1B0F" w:rsidRPr="00A34CD9">
        <w:rPr>
          <w:lang w:val="en-GB"/>
        </w:rPr>
        <w:t xml:space="preserve"> showing the mean potential risk for the </w:t>
      </w:r>
      <w:r w:rsidR="00B132C0" w:rsidRPr="00A34CD9">
        <w:rPr>
          <w:lang w:val="en-GB"/>
        </w:rPr>
        <w:t>metiers of the artisanal tuna fishery</w:t>
      </w:r>
      <w:r w:rsidR="00AA1B0F" w:rsidRPr="00A34CD9">
        <w:rPr>
          <w:lang w:val="en-GB"/>
        </w:rPr>
        <w:t>, t</w:t>
      </w:r>
      <w:r w:rsidR="00F57633" w:rsidRPr="00A34CD9">
        <w:rPr>
          <w:lang w:val="en-GB"/>
        </w:rPr>
        <w:t xml:space="preserve">he resulted maps revealed </w:t>
      </w:r>
      <w:r w:rsidR="003A35E2" w:rsidRPr="00A34CD9">
        <w:rPr>
          <w:lang w:val="en-GB"/>
        </w:rPr>
        <w:t xml:space="preserve">similar </w:t>
      </w:r>
      <w:r w:rsidR="003A35E2" w:rsidRPr="00A34CD9">
        <w:rPr>
          <w:rFonts w:cstheme="minorHAnsi"/>
          <w:lang w:val="en-GB"/>
        </w:rPr>
        <w:t>spatial patterns of moderate potential risk for both metiers</w:t>
      </w:r>
      <w:r w:rsidR="001E2D88" w:rsidRPr="00A34CD9">
        <w:rPr>
          <w:rFonts w:cstheme="minorHAnsi"/>
          <w:lang w:val="en-GB"/>
        </w:rPr>
        <w:t>,</w:t>
      </w:r>
      <w:r w:rsidR="00AA1B0F" w:rsidRPr="00A34CD9">
        <w:rPr>
          <w:rFonts w:cstheme="minorHAnsi"/>
          <w:lang w:val="en-GB"/>
        </w:rPr>
        <w:t xml:space="preserve"> covering </w:t>
      </w:r>
      <w:r w:rsidR="00376F78" w:rsidRPr="00A34CD9">
        <w:rPr>
          <w:rFonts w:cstheme="minorHAnsi"/>
          <w:lang w:val="en-GB"/>
        </w:rPr>
        <w:t xml:space="preserve">most of the study area. </w:t>
      </w:r>
      <w:r w:rsidR="007B526C" w:rsidRPr="00A34CD9">
        <w:rPr>
          <w:rFonts w:cstheme="minorHAnsi"/>
          <w:lang w:val="en-GB"/>
        </w:rPr>
        <w:t xml:space="preserve">Despite that most of the cells showed moderate potential risk, in the case of LHP the maps showed </w:t>
      </w:r>
      <w:r w:rsidR="00C103D9" w:rsidRPr="00A34CD9">
        <w:rPr>
          <w:rFonts w:cstheme="minorHAnsi"/>
          <w:lang w:val="en-GB"/>
        </w:rPr>
        <w:t xml:space="preserve">scattered </w:t>
      </w:r>
      <w:r w:rsidR="007B526C" w:rsidRPr="00A34CD9">
        <w:rPr>
          <w:rFonts w:cstheme="minorHAnsi"/>
          <w:lang w:val="en-GB"/>
        </w:rPr>
        <w:t>low potential risk areas</w:t>
      </w:r>
      <w:r w:rsidR="00187E78" w:rsidRPr="00A34CD9">
        <w:rPr>
          <w:rFonts w:cstheme="minorHAnsi"/>
          <w:lang w:val="en-GB"/>
        </w:rPr>
        <w:t xml:space="preserve"> </w:t>
      </w:r>
      <w:r w:rsidR="007B526C" w:rsidRPr="00A34CD9">
        <w:rPr>
          <w:rFonts w:cstheme="minorHAnsi"/>
          <w:lang w:val="en-GB"/>
        </w:rPr>
        <w:t>in contrast with LTL which maps showed high potential risk areas</w:t>
      </w:r>
      <w:r w:rsidR="00C103D9" w:rsidRPr="00A34CD9">
        <w:rPr>
          <w:rFonts w:cstheme="minorHAnsi"/>
          <w:lang w:val="en-GB"/>
        </w:rPr>
        <w:t xml:space="preserve">. </w:t>
      </w:r>
      <w:r w:rsidR="00187E78" w:rsidRPr="00A34CD9">
        <w:rPr>
          <w:rFonts w:cstheme="minorHAnsi"/>
          <w:lang w:val="en-GB"/>
        </w:rPr>
        <w:t>Thes</w:t>
      </w:r>
      <w:r w:rsidR="0026411C" w:rsidRPr="00A34CD9">
        <w:rPr>
          <w:rFonts w:cstheme="minorHAnsi"/>
          <w:lang w:val="en-GB"/>
        </w:rPr>
        <w:t>e</w:t>
      </w:r>
      <w:r w:rsidR="00187E78" w:rsidRPr="00A34CD9">
        <w:rPr>
          <w:rFonts w:cstheme="minorHAnsi"/>
          <w:lang w:val="en-GB"/>
        </w:rPr>
        <w:t xml:space="preserve"> high potential risk areas </w:t>
      </w:r>
      <w:r w:rsidR="00566398" w:rsidRPr="00A34CD9">
        <w:rPr>
          <w:rFonts w:cstheme="minorHAnsi"/>
          <w:lang w:val="en-GB"/>
        </w:rPr>
        <w:t xml:space="preserve">revealed by the PSA </w:t>
      </w:r>
      <w:r w:rsidR="0026411C" w:rsidRPr="00A34CD9">
        <w:rPr>
          <w:rFonts w:cstheme="minorHAnsi"/>
          <w:lang w:val="en-GB"/>
        </w:rPr>
        <w:t xml:space="preserve">were </w:t>
      </w:r>
      <w:r w:rsidR="00D734AF" w:rsidRPr="00A34CD9">
        <w:rPr>
          <w:rFonts w:cstheme="minorHAnsi"/>
          <w:lang w:val="en-GB"/>
        </w:rPr>
        <w:t>located</w:t>
      </w:r>
      <w:r w:rsidR="00350CB5" w:rsidRPr="00A34CD9">
        <w:rPr>
          <w:rFonts w:cstheme="minorHAnsi"/>
          <w:lang w:val="en-GB"/>
        </w:rPr>
        <w:t xml:space="preserve"> over the Armorican slope and adjacent waters </w:t>
      </w:r>
      <w:r w:rsidR="00566398">
        <w:rPr>
          <w:rFonts w:cstheme="minorHAnsi"/>
          <w:lang w:val="en-GB"/>
        </w:rPr>
        <w:t>being</w:t>
      </w:r>
      <w:r w:rsidR="00C729AF" w:rsidRPr="00A34CD9">
        <w:rPr>
          <w:rFonts w:cstheme="minorHAnsi"/>
          <w:lang w:val="en-GB"/>
        </w:rPr>
        <w:t xml:space="preserve"> a consequence </w:t>
      </w:r>
      <w:r w:rsidR="00B16E21" w:rsidRPr="00A34CD9">
        <w:rPr>
          <w:rFonts w:cstheme="minorHAnsi"/>
          <w:lang w:val="en-GB"/>
        </w:rPr>
        <w:t xml:space="preserve">of </w:t>
      </w:r>
      <w:r w:rsidR="00C8610F" w:rsidRPr="00A34CD9">
        <w:rPr>
          <w:rFonts w:cstheme="minorHAnsi"/>
          <w:lang w:val="en-GB"/>
        </w:rPr>
        <w:t xml:space="preserve">the </w:t>
      </w:r>
      <w:r w:rsidR="009D4C77" w:rsidRPr="00A34CD9">
        <w:rPr>
          <w:rFonts w:cstheme="minorHAnsi"/>
          <w:lang w:val="en-GB"/>
        </w:rPr>
        <w:t xml:space="preserve">overlap </w:t>
      </w:r>
      <w:r w:rsidR="00C8610F" w:rsidRPr="00A34CD9">
        <w:rPr>
          <w:rFonts w:cstheme="minorHAnsi"/>
          <w:lang w:val="en-GB"/>
        </w:rPr>
        <w:t xml:space="preserve">between </w:t>
      </w:r>
      <w:r w:rsidR="009D4C77" w:rsidRPr="00A34CD9">
        <w:rPr>
          <w:rFonts w:cstheme="minorHAnsi"/>
          <w:lang w:val="en-GB"/>
        </w:rPr>
        <w:t>shearwaters and target</w:t>
      </w:r>
      <w:r w:rsidR="00203659" w:rsidRPr="00A34CD9">
        <w:rPr>
          <w:rFonts w:cstheme="minorHAnsi"/>
          <w:lang w:val="en-GB"/>
        </w:rPr>
        <w:t xml:space="preserve"> tuna</w:t>
      </w:r>
      <w:r w:rsidR="009D4C77" w:rsidRPr="00A34CD9">
        <w:rPr>
          <w:rFonts w:cstheme="minorHAnsi"/>
          <w:lang w:val="en-GB"/>
        </w:rPr>
        <w:t xml:space="preserve"> species</w:t>
      </w:r>
      <w:r w:rsidR="00471534" w:rsidRPr="00A34CD9">
        <w:rPr>
          <w:rFonts w:cstheme="minorHAnsi"/>
          <w:lang w:val="en-GB"/>
        </w:rPr>
        <w:t xml:space="preserve"> due to</w:t>
      </w:r>
      <w:r w:rsidR="009D4C77" w:rsidRPr="00A34CD9">
        <w:rPr>
          <w:rFonts w:cstheme="minorHAnsi"/>
          <w:lang w:val="en-GB"/>
        </w:rPr>
        <w:t xml:space="preserve"> search of </w:t>
      </w:r>
      <w:r w:rsidR="00AA513E" w:rsidRPr="00A34CD9">
        <w:rPr>
          <w:rFonts w:cstheme="minorHAnsi"/>
          <w:lang w:val="en-GB"/>
        </w:rPr>
        <w:t xml:space="preserve">the same </w:t>
      </w:r>
      <w:r w:rsidR="008764E2" w:rsidRPr="00A34CD9">
        <w:rPr>
          <w:rFonts w:cstheme="minorHAnsi"/>
          <w:lang w:val="en-GB"/>
        </w:rPr>
        <w:t>trophic resources</w:t>
      </w:r>
      <w:r w:rsidR="00EF2B2B" w:rsidRPr="00A34CD9">
        <w:rPr>
          <w:rFonts w:cstheme="minorHAnsi"/>
          <w:lang w:val="en-GB"/>
        </w:rPr>
        <w:t>. G</w:t>
      </w:r>
      <w:r w:rsidR="008764E2" w:rsidRPr="00A34CD9">
        <w:rPr>
          <w:rFonts w:cstheme="minorHAnsi"/>
          <w:lang w:val="en-GB"/>
        </w:rPr>
        <w:t>reat shearwaters</w:t>
      </w:r>
      <w:r w:rsidR="00471534" w:rsidRPr="00A34CD9">
        <w:rPr>
          <w:rFonts w:cstheme="minorHAnsi"/>
          <w:lang w:val="en-GB"/>
        </w:rPr>
        <w:t xml:space="preserve">, </w:t>
      </w:r>
      <w:r w:rsidR="008764E2" w:rsidRPr="00A34CD9">
        <w:rPr>
          <w:rFonts w:cstheme="minorHAnsi"/>
          <w:lang w:val="en-GB"/>
        </w:rPr>
        <w:t>albacore and bluefin tunas consum</w:t>
      </w:r>
      <w:r w:rsidR="00D41ADF" w:rsidRPr="00A34CD9">
        <w:rPr>
          <w:rFonts w:cstheme="minorHAnsi"/>
          <w:lang w:val="en-GB"/>
        </w:rPr>
        <w:t>e</w:t>
      </w:r>
      <w:r w:rsidR="008764E2" w:rsidRPr="00A34CD9">
        <w:rPr>
          <w:rFonts w:cstheme="minorHAnsi"/>
          <w:lang w:val="en-GB"/>
        </w:rPr>
        <w:t xml:space="preserve"> mainly euphausiids as well as pelagic fish, being the European anchovy </w:t>
      </w:r>
      <w:r w:rsidR="00566398">
        <w:rPr>
          <w:rFonts w:cstheme="minorHAnsi"/>
          <w:lang w:val="en-GB"/>
        </w:rPr>
        <w:t xml:space="preserve">and </w:t>
      </w:r>
      <w:r w:rsidR="00AC4C43">
        <w:rPr>
          <w:rFonts w:cstheme="minorHAnsi"/>
          <w:lang w:val="en-GB"/>
        </w:rPr>
        <w:t>pilchard</w:t>
      </w:r>
      <w:r w:rsidR="00566398">
        <w:rPr>
          <w:rFonts w:cstheme="minorHAnsi"/>
          <w:lang w:val="en-GB"/>
        </w:rPr>
        <w:t xml:space="preserve"> </w:t>
      </w:r>
      <w:r w:rsidR="008764E2" w:rsidRPr="00A34CD9">
        <w:rPr>
          <w:rFonts w:cstheme="minorHAnsi"/>
          <w:lang w:val="en-GB"/>
        </w:rPr>
        <w:t>the major prey</w:t>
      </w:r>
      <w:r w:rsidR="00566398">
        <w:rPr>
          <w:rFonts w:cstheme="minorHAnsi"/>
          <w:lang w:val="en-GB"/>
        </w:rPr>
        <w:t>s</w:t>
      </w:r>
      <w:r w:rsidR="008764E2" w:rsidRPr="00A34CD9">
        <w:rPr>
          <w:rFonts w:cstheme="minorHAnsi"/>
          <w:lang w:val="en-GB"/>
        </w:rPr>
        <w:t xml:space="preserve"> in the shelf-break areas of the </w:t>
      </w:r>
      <w:proofErr w:type="spellStart"/>
      <w:r w:rsidR="008764E2" w:rsidRPr="00A34CD9">
        <w:rPr>
          <w:rFonts w:cstheme="minorHAnsi"/>
          <w:lang w:val="en-GB"/>
        </w:rPr>
        <w:t>BoB</w:t>
      </w:r>
      <w:proofErr w:type="spellEnd"/>
      <w:r w:rsidR="00A42F33" w:rsidRPr="00A34CD9">
        <w:rPr>
          <w:rFonts w:cstheme="minorHAnsi"/>
          <w:lang w:val="en-GB"/>
        </w:rPr>
        <w:t xml:space="preserve"> </w:t>
      </w:r>
      <w:r w:rsidR="00A42F33" w:rsidRPr="00A34CD9">
        <w:rPr>
          <w:rFonts w:cstheme="minorHAnsi"/>
          <w:lang w:val="en-GB"/>
        </w:rPr>
        <w:fldChar w:fldCharType="begin" w:fldLock="1"/>
      </w:r>
      <w:r w:rsidR="00200924" w:rsidRPr="00A34CD9">
        <w:rPr>
          <w:rFonts w:cstheme="minorHAnsi"/>
          <w:lang w:val="en-GB"/>
        </w:rPr>
        <w:instrText>ADDIN CSL_CITATION {"citationItems":[{"id":"ITEM-1","itemData":{"DOI":"10.5194/essd-7-19-2015","ISBN":"1866-3508","abstract":"There is increasing demand for information on predator-prey interactions in the ocean as a result of legislative commitments aimed at achieving sustainable exploitation. However, comprehensive data sets are lacking for many fish species and this has hampered development of multispecies fisheries models and the formulation of effective food-web indicators. This work describes a new compilation of stomach content data for five pelagic fish species (herring, blue whiting, mackerel, albacore and bluefin tuna) sampled across the northeast Atlantic and submitted to the PANGAEA open-access data portal (www.pangaea.de). We provide detailed descriptions of sample origin and of the corresponding database structures. We describe the main results in terms of diet composition and predator-prey relationships. The feeding preferences of small pelagic fish (herring, blue whiting, mackerel) were sampled over a very broad geographic area within the North Atlantic basin, from Greenland in the west, to the Lofoten Islands in the east and from the Bay of Biscay northwards to the Arctic. This analysis revealed significant differences in the prey items selected in different parts of the region at different times of year. Tunas (albacore and bluefin) were sampled in the Bay of Biscay and Celtic Sea. Dominant prey items for these species varied by location, year and season. This data compilation exercise represents one of the largest and most wide-ranging ever attempted for pelagic fish in the North Atlantic. The earliest data included in the database were collected in 1864, whereas the most recent were collected in 2012. Data sets are available at doi:10.1594/PANGAEA.820041 and doi:10.1594/PANGAEA.826992.","author":[{"dropping-particle":"","family":"Pinnegar","given":"J K","non-dropping-particle":"","parse-names":false,"suffix":""},{"dropping-particle":"","family":"Goni","given":"N","non-dropping-particle":"","parse-names":false,"suffix":""},{"dropping-particle":"","family":"Trenkel","given":"V M","non-dropping-particle":"","parse-names":false,"suffix":""},{"dropping-particle":"","family":"Arrizabalaga","given":"H","non-dropping-particle":"","parse-names":false,"suffix":""},{"dropping-particle":"","family":"Melle","given":"W","non-dropping-particle":"","parse-names":false,"suffix":""},{"dropping-particle":"","family":"Keating","given":"J","non-dropping-particle":"","parse-names":false,"suffix":""},{"dropping-particle":"","family":"Oskarsson","given":"G","non-dropping-particle":"","parse-names":false,"suffix":""}],"container-title":"Earth System Science Data","id":"ITEM-1","issue":"1","issued":{"date-parts":[["2015"]]},"language":"English","note":"ISI Document Delivery No.: CL4PC\nTimes Cited: 5\nCited Reference Count: 39\nCited References: \nAloncle H., 1974, Revue Trav Inst Peches Marit, V38, P5\nBrook G., 1886, APPENDIX F 6 PRELIMI, P102\nBrose U, 2006, ECOLOGY, V87, P2411, DOI 10.1890/0012-9658(2006)87[2411:CBRINF]2.0.CO;2\nBULLEN GE, 1908, J MAR BIOL ASSOC UK, V8, P269\nDolgov A. V., 2007, PROCEEDINGS OF THE 1, P44\nEC, 2011, COM2011417 EC EUR EC\nEdwards M., 2014, SAHFOS TECHNICAL REP, P1\nEngelhard GH, 2014, ICES J MAR SCI, V71, P90, DOI 10.1093/icesjms/fst087\nGoni N., 2014, STOMACH CONTENT RECO, DOI [10.1594/PANGAEA.826992, DOI 10.1594/PANGAEA.826992]\nGoni N, 2011, MAR BIOL, V158, P1057, DOI 10.1007/s00227-011-1630-x\nHardy A. C., 1924, MINISTRY AGR FISHE 2, V7, P1\nHYSLOP EJ, 1980, J FISH BIOL, V17, P411, DOI 10.1111/j.1095-8649.1980.tb02775.x\nICCAT, 2014, REP BIENN PER 2012 2, V2\nICES, 1997, 1997J2 ICES CM, P2\nICES, 2013, MULT CONS N SEA STOC\nIrigoien X, 2007, PROG OCEANOGR, V74, P132, DOI 10.1016/j.pocean.2007.04.011\nJESPERSON P., 1928, MEDDEL KOMM F HAVUNDERSBG PLANKTON, V2, P1\nLangoy H, 2012, MAR BIOL RES, V8, P442, DOI 10.1080/17451000.2011.642803\nLast J. M., 1980, 60 MAFF\nLe Quesne WJF, 2012, FISH FISH, V13, P333, DOI 10.1111/j.1467-2979.2011.00423.x\nLebour M. V., 1924, Journal of the Marine Biological Association Plymouth, V13, P325\nLebour MV, 1921, J MAR BIOL ASSOC UK, V12, P458\nLogan JM, 2011, MAR BIOL, V158, P73, DOI 10.1007/s00227-010-1543-0\nMackinson S, 2009, CAN J FISH AQUAT SCI, V66, P1107, DOI 10.1139/F09-057\nMARSHALL S. M., 1937, JOUR MARINE BIOL ASSOC UNITED KINGDOM, V22, P245\nMARSHALL S. M., 1939, JOUR MARINE BIOL ASSOC UNITED KINGDOM, V23, P427\nMEHL S, 1983, 1983H34 ICES CM\nMoriarty R, 2013, EARTH SYST SCI DATA, V5, P45, DOI 10.5194/essd-5-45-2013\nMoriarty R, 2013, EARTH SYST SCI DATA, V5, P241, DOI 10.5194/essd-5-241-2013\nPayne MR, 2012, MAR BIOL RES, V8, P475, DOI 10.1080/17451000.2011.639778\nPinnegar J. K., 2013, STOMACH CONTENT RECO, DOI [10.1594/PANGAEA.820041, DOI 10.1594/PANGAEA.820041]\nPinnegar JK, 2014, DAPSTOM INTEGRATED D\nProkopchuk I, 2006, ICES J MAR SCI, V63, P117, DOI 10.1016/j.icesjms.2005.08.005\nPusineri C, 2005, ICES J MAR SCI, V62, P116, DOI 10.1016/j.icesjms.2004.09.004\nRochet MJ, 2011, CAN J FISH AQUAT SCI, V68, P469, DOI 10.1139/F10-159\nRossberg AG, 2011, P ROY SOC B-BIOL SCI, V278, P1617, DOI 10.1098/rspb.2010.1483\nSavage R. E., 1931, MIN AGRI FISH INVE 2, V12, P1\nSCOTT A, 1924, P T LIVERPOOL BIOL S, V38, P115\nTiews K., 1978, Rapports et Proces-Verbaux des Reunions Conseil International pour l'Exploration de la Mer, V172, P301\nPinnegar, J. K. Goni, N. Trenkel, V. M. Arrizabalaga, H. Melle, W. Keating, J. Oskarsson, G.\nEuropean CommissionEuropean Commission Joint Research Centre [264 933]; EU Network of Excellence programme &amp;quot;EurOceans&amp;quot;; UK Department for Environment, Food and Rural AffairsDepartment for Environment, Food &amp;amp; Rural Affairs (DEFRA) [MF1202, MF1109]; Basque Government (Agriculture and Fisheries Department)\nResearch leading to these results received funding from the European Commission FP7 project EURO-BASIN (European Basin-Scale Analysis, Synthesis, and Integration, Grant Agreement 264 933). Development of the DAPSTOM data portal was initially supported through a &amp;quot;data rescue&amp;quot; grant from the EU Network of Excellence programme &amp;quot;EurOceans&amp;quot;. Further iterations were supported by the UK Department for Environment, Food and Rural Affairs (specifically contracts MF1202 and MF1109). AZTI tuna stomach sampling was funded through four research projects supported by the Basque Government (Agriculture and Fisheries Department).\nCopernicus gesellschaft mbh\nGottingen","page":"19-28","title":"A new compilation of stomach content data for commercially important pelagic fish species in the northeast Atlantic","type":"article-journal","volume":"7"},"uris":["http://www.mendeley.com/documents/?uuid=4e41d38a-9d7c-4203-8170-b45c6f45f1a2"]}],"mendeley":{"formattedCitation":"(Pinnegar &lt;i&gt;et al.&lt;/i&gt;, 2015)","plainTextFormattedCitation":"(Pinnegar et al., 2015)","previouslyFormattedCitation":"(Pinnegar &lt;i&gt;et al.&lt;/i&gt;, 2015)"},"properties":{"noteIndex":0},"schema":"https://github.com/citation-style-language/schema/raw/master/csl-citation.json"}</w:instrText>
      </w:r>
      <w:r w:rsidR="00A42F33" w:rsidRPr="00A34CD9">
        <w:rPr>
          <w:rFonts w:cstheme="minorHAnsi"/>
          <w:lang w:val="en-GB"/>
        </w:rPr>
        <w:fldChar w:fldCharType="separate"/>
      </w:r>
      <w:r w:rsidR="00A42F33" w:rsidRPr="00A34CD9">
        <w:rPr>
          <w:rFonts w:cstheme="minorHAnsi"/>
          <w:noProof/>
          <w:lang w:val="en-GB"/>
        </w:rPr>
        <w:t xml:space="preserve">(Pinnegar </w:t>
      </w:r>
      <w:r w:rsidR="00A42F33" w:rsidRPr="00A34CD9">
        <w:rPr>
          <w:rFonts w:cstheme="minorHAnsi"/>
          <w:i/>
          <w:noProof/>
          <w:lang w:val="en-GB"/>
        </w:rPr>
        <w:t>et al.</w:t>
      </w:r>
      <w:r w:rsidR="00A42F33" w:rsidRPr="00A34CD9">
        <w:rPr>
          <w:rFonts w:cstheme="minorHAnsi"/>
          <w:noProof/>
          <w:lang w:val="en-GB"/>
        </w:rPr>
        <w:t>, 2015)</w:t>
      </w:r>
      <w:r w:rsidR="00A42F33" w:rsidRPr="00A34CD9">
        <w:rPr>
          <w:rFonts w:cstheme="minorHAnsi"/>
          <w:lang w:val="en-GB"/>
        </w:rPr>
        <w:fldChar w:fldCharType="end"/>
      </w:r>
      <w:r w:rsidR="002056B5" w:rsidRPr="00A34CD9">
        <w:rPr>
          <w:rFonts w:cstheme="minorHAnsi"/>
          <w:lang w:val="en-GB"/>
        </w:rPr>
        <w:t xml:space="preserve"> and one of the main </w:t>
      </w:r>
      <w:r w:rsidR="00225665" w:rsidRPr="00A34CD9">
        <w:rPr>
          <w:rFonts w:cstheme="minorHAnsi"/>
          <w:lang w:val="en-GB"/>
        </w:rPr>
        <w:t xml:space="preserve">baits used by </w:t>
      </w:r>
      <w:r w:rsidR="008C3081" w:rsidRPr="00A34CD9">
        <w:rPr>
          <w:rFonts w:cstheme="minorHAnsi"/>
          <w:lang w:val="en-GB"/>
        </w:rPr>
        <w:t>the artisanal tuna fishing fleet</w:t>
      </w:r>
      <w:r w:rsidR="004A60FD" w:rsidRPr="00A34CD9">
        <w:rPr>
          <w:rFonts w:cstheme="minorHAnsi"/>
          <w:lang w:val="en-GB"/>
        </w:rPr>
        <w:t xml:space="preserve"> </w:t>
      </w:r>
      <w:r w:rsidR="004A60FD" w:rsidRPr="00A34CD9">
        <w:rPr>
          <w:rFonts w:cstheme="minorHAnsi"/>
          <w:lang w:val="en-GB"/>
        </w:rPr>
        <w:fldChar w:fldCharType="begin" w:fldLock="1"/>
      </w:r>
      <w:r w:rsidR="00D6404A" w:rsidRPr="00A34CD9">
        <w:rPr>
          <w:rFonts w:cstheme="minorHAnsi"/>
          <w:lang w:val="en-GB"/>
        </w:rPr>
        <w:instrText>ADDIN CSL_CITATION {"citationItems":[{"id":"ITEM-1","itemData":{"DOI":"10.1016/S1054","author":[{"dropping-particle":"","family":"Arrizabalaga","given":"H","non-dropping-particle":"","parse-names":false,"suffix":""},{"dropping-particle":"","family":"Ortiz","given":"M","non-dropping-particle":"","parse-names":false,"suffix":""},{"dropping-particle":"","family":"Moreno","given":"G","non-dropping-particle":"","parse-names":false,"suffix":""},{"dropping-particle":"","family":"Kell","given":"L T","non-dropping-particle":"","parse-names":false,"suffix":""},{"dropping-particle":"","family":"Rodrı","given":"C","non-dropping-particle":"","parse-names":false,"suffix":""}],"container-title":"Ices Journal of Marine Science","id":"ITEM-1","issued":{"date-parts":[["2003"]]},"page":"1216-1231","title":"Standardization of bluefin tuna, &lt;i&gt;Thunnus thynnus&lt;/i&gt;, catch per unit effort in the baitboat fishery of the Bay of Biscay (Eastern Atlantic)","type":"article-journal","volume":"60"},"uris":["http://www.mendeley.com/documents/?uuid=8c523533-8fc1-475e-bdde-431d275e9bd3"]}],"mendeley":{"formattedCitation":"(Arrizabalaga &lt;i&gt;et al.&lt;/i&gt;, 2003)","plainTextFormattedCitation":"(Arrizabalaga et al., 2003)","previouslyFormattedCitation":"(Arrizabalaga &lt;i&gt;et al.&lt;/i&gt;, 2003)"},"properties":{"noteIndex":0},"schema":"https://github.com/citation-style-language/schema/raw/master/csl-citation.json"}</w:instrText>
      </w:r>
      <w:r w:rsidR="004A60FD" w:rsidRPr="00A34CD9">
        <w:rPr>
          <w:rFonts w:cstheme="minorHAnsi"/>
          <w:lang w:val="en-GB"/>
        </w:rPr>
        <w:fldChar w:fldCharType="separate"/>
      </w:r>
      <w:r w:rsidR="004A60FD" w:rsidRPr="00A34CD9">
        <w:rPr>
          <w:rFonts w:cstheme="minorHAnsi"/>
          <w:noProof/>
          <w:lang w:val="en-GB"/>
        </w:rPr>
        <w:t xml:space="preserve">(Arrizabalaga </w:t>
      </w:r>
      <w:r w:rsidR="004A60FD" w:rsidRPr="00A34CD9">
        <w:rPr>
          <w:rFonts w:cstheme="minorHAnsi"/>
          <w:i/>
          <w:noProof/>
          <w:lang w:val="en-GB"/>
        </w:rPr>
        <w:t>et al.</w:t>
      </w:r>
      <w:r w:rsidR="004A60FD" w:rsidRPr="00A34CD9">
        <w:rPr>
          <w:rFonts w:cstheme="minorHAnsi"/>
          <w:noProof/>
          <w:lang w:val="en-GB"/>
        </w:rPr>
        <w:t>, 2003)</w:t>
      </w:r>
      <w:r w:rsidR="004A60FD" w:rsidRPr="00A34CD9">
        <w:rPr>
          <w:rFonts w:cstheme="minorHAnsi"/>
          <w:lang w:val="en-GB"/>
        </w:rPr>
        <w:fldChar w:fldCharType="end"/>
      </w:r>
      <w:r w:rsidR="008764E2" w:rsidRPr="00A34CD9">
        <w:rPr>
          <w:rFonts w:cstheme="minorHAnsi"/>
          <w:lang w:val="en-GB"/>
        </w:rPr>
        <w:t>.</w:t>
      </w:r>
      <w:r w:rsidR="00EF2B2B" w:rsidRPr="00A34CD9">
        <w:rPr>
          <w:rFonts w:cstheme="minorHAnsi"/>
          <w:lang w:val="en-GB"/>
        </w:rPr>
        <w:t xml:space="preserve"> Along </w:t>
      </w:r>
      <w:r w:rsidR="001320AF" w:rsidRPr="00A34CD9">
        <w:rPr>
          <w:rFonts w:cstheme="minorHAnsi"/>
          <w:lang w:val="en-GB"/>
        </w:rPr>
        <w:t xml:space="preserve">the </w:t>
      </w:r>
      <w:r w:rsidR="00C965C4" w:rsidRPr="00A34CD9">
        <w:rPr>
          <w:rFonts w:cstheme="minorHAnsi"/>
          <w:lang w:val="en-GB"/>
        </w:rPr>
        <w:t>north</w:t>
      </w:r>
      <w:r w:rsidR="00667F7B" w:rsidRPr="00A34CD9">
        <w:rPr>
          <w:rFonts w:cstheme="minorHAnsi"/>
          <w:lang w:val="en-GB"/>
        </w:rPr>
        <w:t>ern</w:t>
      </w:r>
      <w:r w:rsidR="00416277" w:rsidRPr="00A34CD9">
        <w:rPr>
          <w:rFonts w:cstheme="minorHAnsi"/>
          <w:lang w:val="en-GB"/>
        </w:rPr>
        <w:t xml:space="preserve"> Armorican slope</w:t>
      </w:r>
      <w:r w:rsidR="00EF2B2B" w:rsidRPr="00A34CD9">
        <w:rPr>
          <w:rFonts w:cstheme="minorHAnsi"/>
          <w:lang w:val="en-GB"/>
        </w:rPr>
        <w:t xml:space="preserve">, a persistent line of upwelling induced by a deep current impinging on the edge of the continental shelf </w:t>
      </w:r>
      <w:r w:rsidR="00EF2B2B" w:rsidRPr="00A34CD9">
        <w:rPr>
          <w:rFonts w:cstheme="minorHAnsi"/>
          <w:lang w:val="en-GB"/>
        </w:rPr>
        <w:fldChar w:fldCharType="begin" w:fldLock="1"/>
      </w:r>
      <w:r w:rsidR="005E336E" w:rsidRPr="00A34CD9">
        <w:rPr>
          <w:rFonts w:cstheme="minorHAnsi"/>
          <w:lang w:val="en-GB"/>
        </w:rPr>
        <w:instrText>ADDIN CSL_CITATION {"citationItems":[{"id":"ITEM-1","itemData":{"ISBN":"9780674021174","abstract":"The Bay of Biscay is an arm of the Atlantic Ocean, indenting the coast of W Europe from NW France (Offshore of Brittany) to NW Spain (Galicia). Traditionally the southern limit is considered to be Cape Ortegal in NW Spain, but in this contribution we follow the criterion of other authors (i.e. Sanchez and Olaso, 2004) that extends the southern limit up to Cape Finisterre, at 43 ‡ N latitude, in order to get a more consistent analysis of oceanographic, geomorphological and biological characteristics observed in the bay. The Bay of Biscay forms a fairly regular curve, broken on the French coast by the estuaries of the rivers (i.e. Loire and Gironde). The southeastern shore is straight and sandy whereas the Spanish coast is rugged and its northwest part is characterized by many large V-shaped coastal inlets (rias) (Evans and Prego, 2003). The area has been identified as a unit since Roman times, when it was called Sinus Aquitanicus, Sinus Cantabricus or Cantaber Oceanus. The coast has been inhabited since prehistoric times and nowadays the region supports an important population (Valdes and Lavin, 2002) with various noteworthy commercial and fishing ports (i.e. Brest, Nantes, Lorient, Saint Nazaire, La Rochelle and Bordeaux in France; Ondarroa, Bilbao, Santander, Gijón, Avilés and A Coruña in Spain)\"","author":[{"dropping-particle":"","family":"Lavín","given":"Alicia","non-dropping-particle":"","parse-names":false,"suffix":""},{"dropping-particle":"","family":"Valdés","given":"Luis","non-dropping-particle":"","parse-names":false,"suffix":""},{"dropping-particle":"","family":"Sánchez","given":"Francisco","non-dropping-particle":"","parse-names":false,"suffix":""},{"dropping-particle":"","family":"Abaunza","given":"Pablo","non-dropping-particle":"","parse-names":false,"suffix":""},{"dropping-particle":"","family":"Forest","given":"Andre","non-dropping-particle":"","parse-names":false,"suffix":""},{"dropping-particle":"","family":"Boucher","given":"Jean","non-dropping-particle":"","parse-names":false,"suffix":""},{"dropping-particle":"","family":"Lazure","given":"Pascal","non-dropping-particle":"","parse-names":false,"suffix":""},{"dropping-particle":"","family":"Jegou","given":"Anne-Marie","non-dropping-particle":"","parse-names":false,"suffix":""}],"container-title":"The Seas","editor":[{"dropping-particle":"","family":"Robinson","given":"A.R.","non-dropping-particle":"","parse-names":false,"suffix":""},{"dropping-particle":"","family":"Bring","given":"K.H.","non-dropping-particle":"","parse-names":false,"suffix":""}],"id":"ITEM-1","issued":{"date-parts":[["2006"]]},"page":"933-1001","publisher":"Harvard University Press","publisher-place":"Cambridge, UK","title":"The Bay of Biscay: the encountering of the ocean and the shelf","type":"chapter","volume":"14"},"uris":["http://www.mendeley.com/documents/?uuid=66d307ec-f398-3f8d-a8f0-b5520b121adf"]}],"mendeley":{"formattedCitation":"(Lavín &lt;i&gt;et al.&lt;/i&gt;, 2006)","plainTextFormattedCitation":"(Lavín et al., 2006)","previouslyFormattedCitation":"(Lavín &lt;i&gt;et al.&lt;/i&gt;, 2006)"},"properties":{"noteIndex":0},"schema":"https://github.com/citation-style-language/schema/raw/master/csl-citation.json"}</w:instrText>
      </w:r>
      <w:r w:rsidR="00EF2B2B" w:rsidRPr="00A34CD9">
        <w:rPr>
          <w:rFonts w:cstheme="minorHAnsi"/>
          <w:lang w:val="en-GB"/>
        </w:rPr>
        <w:fldChar w:fldCharType="separate"/>
      </w:r>
      <w:r w:rsidR="003600F9" w:rsidRPr="00A34CD9">
        <w:rPr>
          <w:rFonts w:cstheme="minorHAnsi"/>
          <w:noProof/>
          <w:lang w:val="en-GB"/>
        </w:rPr>
        <w:t xml:space="preserve">(Lavín </w:t>
      </w:r>
      <w:r w:rsidR="003600F9" w:rsidRPr="00A34CD9">
        <w:rPr>
          <w:rFonts w:cstheme="minorHAnsi"/>
          <w:i/>
          <w:noProof/>
          <w:lang w:val="en-GB"/>
        </w:rPr>
        <w:t>et al.</w:t>
      </w:r>
      <w:r w:rsidR="003600F9" w:rsidRPr="00A34CD9">
        <w:rPr>
          <w:rFonts w:cstheme="minorHAnsi"/>
          <w:noProof/>
          <w:lang w:val="en-GB"/>
        </w:rPr>
        <w:t>, 2006)</w:t>
      </w:r>
      <w:r w:rsidR="00EF2B2B" w:rsidRPr="00A34CD9">
        <w:rPr>
          <w:rFonts w:cstheme="minorHAnsi"/>
          <w:lang w:val="en-GB"/>
        </w:rPr>
        <w:fldChar w:fldCharType="end"/>
      </w:r>
      <w:r w:rsidR="00EF2B2B" w:rsidRPr="00A34CD9">
        <w:rPr>
          <w:rFonts w:cstheme="minorHAnsi"/>
          <w:lang w:val="en-GB"/>
        </w:rPr>
        <w:t>, enhanc</w:t>
      </w:r>
      <w:r w:rsidR="002D6E7D" w:rsidRPr="00A34CD9">
        <w:rPr>
          <w:rFonts w:cstheme="minorHAnsi"/>
          <w:lang w:val="en-GB"/>
        </w:rPr>
        <w:t>es</w:t>
      </w:r>
      <w:r w:rsidR="00EF2B2B" w:rsidRPr="00A34CD9">
        <w:rPr>
          <w:rFonts w:cstheme="minorHAnsi"/>
          <w:lang w:val="en-GB"/>
        </w:rPr>
        <w:t xml:space="preserve"> primary and secondary productivity leading to the aggregation of </w:t>
      </w:r>
      <w:r w:rsidR="00A712CE" w:rsidRPr="00A34CD9">
        <w:rPr>
          <w:rFonts w:cstheme="minorHAnsi"/>
          <w:lang w:val="en-GB"/>
        </w:rPr>
        <w:t xml:space="preserve">these </w:t>
      </w:r>
      <w:r w:rsidR="00EF2B2B" w:rsidRPr="00A34CD9">
        <w:rPr>
          <w:rFonts w:cstheme="minorHAnsi"/>
          <w:lang w:val="en-GB"/>
        </w:rPr>
        <w:t>prey items</w:t>
      </w:r>
      <w:r w:rsidR="009825C1" w:rsidRPr="00A34CD9">
        <w:rPr>
          <w:rFonts w:cstheme="minorHAnsi"/>
          <w:lang w:val="en-GB"/>
        </w:rPr>
        <w:t xml:space="preserve">, </w:t>
      </w:r>
      <w:r w:rsidR="002D6E7D" w:rsidRPr="00A34CD9">
        <w:rPr>
          <w:rFonts w:cstheme="minorHAnsi"/>
          <w:lang w:val="en-GB"/>
        </w:rPr>
        <w:t xml:space="preserve">explaining the </w:t>
      </w:r>
      <w:r w:rsidR="001320AF" w:rsidRPr="00A34CD9">
        <w:rPr>
          <w:rFonts w:cstheme="minorHAnsi"/>
          <w:lang w:val="en-GB"/>
        </w:rPr>
        <w:t xml:space="preserve">enhanced </w:t>
      </w:r>
      <w:r w:rsidR="006155C8" w:rsidRPr="00A34CD9">
        <w:rPr>
          <w:rFonts w:cstheme="minorHAnsi"/>
          <w:lang w:val="en-GB"/>
        </w:rPr>
        <w:t xml:space="preserve">potential </w:t>
      </w:r>
      <w:r w:rsidR="002D6E7D" w:rsidRPr="00A34CD9">
        <w:rPr>
          <w:rFonts w:cstheme="minorHAnsi"/>
          <w:lang w:val="en-GB"/>
        </w:rPr>
        <w:t xml:space="preserve">risk of </w:t>
      </w:r>
      <w:r w:rsidR="006155C8" w:rsidRPr="00A34CD9">
        <w:rPr>
          <w:rFonts w:cstheme="minorHAnsi"/>
          <w:lang w:val="en-GB"/>
        </w:rPr>
        <w:t xml:space="preserve">interaction </w:t>
      </w:r>
      <w:r w:rsidR="002D6E7D" w:rsidRPr="00A34CD9">
        <w:rPr>
          <w:rFonts w:cstheme="minorHAnsi"/>
          <w:lang w:val="en-GB"/>
        </w:rPr>
        <w:t>along the area</w:t>
      </w:r>
      <w:r w:rsidR="009825C1" w:rsidRPr="00A34CD9">
        <w:rPr>
          <w:rFonts w:cstheme="minorHAnsi"/>
          <w:lang w:val="en-GB"/>
        </w:rPr>
        <w:t xml:space="preserve">. </w:t>
      </w:r>
      <w:r w:rsidR="00AC421E" w:rsidRPr="00A34CD9">
        <w:rPr>
          <w:rFonts w:cstheme="minorHAnsi"/>
          <w:lang w:val="en-GB"/>
        </w:rPr>
        <w:t xml:space="preserve">This result is in accordance with previous studies </w:t>
      </w:r>
      <w:r w:rsidR="00834840" w:rsidRPr="00A34CD9">
        <w:rPr>
          <w:rFonts w:cstheme="minorHAnsi"/>
          <w:lang w:val="en-GB"/>
        </w:rPr>
        <w:t>stating that</w:t>
      </w:r>
      <w:r w:rsidR="00EF2B2B" w:rsidRPr="00A34CD9">
        <w:rPr>
          <w:rFonts w:cstheme="minorHAnsi"/>
          <w:lang w:val="en-GB"/>
        </w:rPr>
        <w:t xml:space="preserve"> shelf</w:t>
      </w:r>
      <w:r w:rsidR="007F2BBF" w:rsidRPr="00A34CD9">
        <w:rPr>
          <w:rFonts w:cstheme="minorHAnsi"/>
          <w:lang w:val="en-GB"/>
        </w:rPr>
        <w:t>-</w:t>
      </w:r>
      <w:r w:rsidR="00EF2B2B" w:rsidRPr="00A34CD9">
        <w:rPr>
          <w:rFonts w:cstheme="minorHAnsi"/>
          <w:lang w:val="en-GB"/>
        </w:rPr>
        <w:t>break and upwelling areas</w:t>
      </w:r>
      <w:r w:rsidR="00384CB8" w:rsidRPr="00A34CD9">
        <w:rPr>
          <w:rFonts w:cstheme="minorHAnsi"/>
          <w:lang w:val="en-GB"/>
        </w:rPr>
        <w:t xml:space="preserve"> </w:t>
      </w:r>
      <w:r w:rsidR="001320AF" w:rsidRPr="00A34CD9">
        <w:rPr>
          <w:rFonts w:cstheme="minorHAnsi"/>
          <w:lang w:val="en-GB"/>
        </w:rPr>
        <w:t xml:space="preserve">increase </w:t>
      </w:r>
      <w:r w:rsidR="00384CB8" w:rsidRPr="00A34CD9">
        <w:rPr>
          <w:rFonts w:cstheme="minorHAnsi"/>
          <w:lang w:val="en-GB"/>
        </w:rPr>
        <w:t>the likelihood of fisheries interactions</w:t>
      </w:r>
      <w:r w:rsidR="001320AF" w:rsidRPr="00A34CD9">
        <w:rPr>
          <w:rFonts w:cstheme="minorHAnsi"/>
          <w:lang w:val="en-GB"/>
        </w:rPr>
        <w:t>, thus</w:t>
      </w:r>
      <w:r w:rsidR="00384CB8" w:rsidRPr="00A34CD9">
        <w:rPr>
          <w:rFonts w:cstheme="minorHAnsi"/>
          <w:lang w:val="en-GB"/>
        </w:rPr>
        <w:t xml:space="preserve"> </w:t>
      </w:r>
      <w:r w:rsidR="00E303C2" w:rsidRPr="00A34CD9">
        <w:rPr>
          <w:rFonts w:cstheme="minorHAnsi"/>
          <w:lang w:val="en-GB"/>
        </w:rPr>
        <w:t>being</w:t>
      </w:r>
      <w:r w:rsidR="00EF2B2B" w:rsidRPr="00A34CD9">
        <w:rPr>
          <w:rFonts w:cstheme="minorHAnsi"/>
          <w:lang w:val="en-GB"/>
        </w:rPr>
        <w:t xml:space="preserve"> recognized as high-risk bycatch</w:t>
      </w:r>
      <w:r w:rsidR="00B80672" w:rsidRPr="00A34CD9">
        <w:rPr>
          <w:rFonts w:cstheme="minorHAnsi"/>
          <w:lang w:val="en-GB"/>
        </w:rPr>
        <w:t xml:space="preserve"> areas</w:t>
      </w:r>
      <w:r w:rsidR="00EF2B2B" w:rsidRPr="00A34CD9">
        <w:rPr>
          <w:rFonts w:cstheme="minorHAnsi"/>
          <w:lang w:val="en-GB"/>
        </w:rPr>
        <w:t xml:space="preserve"> </w:t>
      </w:r>
      <w:r w:rsidR="00EF2B2B" w:rsidRPr="00A34CD9">
        <w:rPr>
          <w:rFonts w:cstheme="minorHAnsi"/>
          <w:lang w:val="en-GB"/>
        </w:rPr>
        <w:fldChar w:fldCharType="begin" w:fldLock="1"/>
      </w:r>
      <w:r w:rsidR="00D0099C" w:rsidRPr="00A34CD9">
        <w:rPr>
          <w:rFonts w:cstheme="minorHAnsi"/>
          <w:lang w:val="en-GB"/>
        </w:rPr>
        <w:instrText>ADDIN CSL_CITATION {"citationItems":[{"id":"ITEM-1","itemData":{"DOI":"10.1073/pnas.1801270115","ISSN":"10916490","abstract":"Incidental catch of nontarget species (bycatch) is a major barrier to ecological and economic sustainability in marine capture fisheries. Key to mitigating bycatch is an understanding of the habitat requirements of target and nontarget species and the influence of heterogeneity and variability in the dynamic marine environment. While patterns of overlap among marine capture fisheries and habitats of a taxonomically diverse range of marine vertebrates have been reported, a mechanistic understanding of the real-time physical drivers of bycatch events is lacking. Moving from describing patterns toward understanding processes, we apply a Lagrangian analysis to a high-resolution ocean model output to elucidate the fundamental mechanisms that drive fisheries interactions. We find that the likelihood of marine megafauna bycatch is intensified in attracting Lagrangian coherent structures associated with submesoscale and mesoscale filaments, fronts, and eddies. These results highlight how the real-time tracking of dynamic structures in the oceans can support fisheries sustainability and advance ecosystem-based management.","author":[{"dropping-particle":"","family":"Scales","given":"Kylie L.","non-dropping-particle":"","parse-names":false,"suffix":""},{"dropping-particle":"","family":"Hazen","given":"Elliott L.","non-dropping-particle":"","parse-names":false,"suffix":""},{"dropping-particle":"","family":"Jacox","given":"Michael G.","non-dropping-particle":"","parse-names":false,"suffix":""},{"dropping-particle":"","family":"Castruccio","given":"Frederic","non-dropping-particle":"","parse-names":false,"suffix":""},{"dropping-particle":"","family":"Maxwell","given":"Sara M.","non-dropping-particle":"","parse-names":false,"suffix":""},{"dropping-particle":"","family":"Lewison","given":"Rebecca L.","non-dropping-particle":"","parse-names":false,"suffix":""},{"dropping-particle":"","family":"Bograd","given":"Steven J.","non-dropping-particle":"","parse-names":false,"suffix":""}],"container-title":"Proceedings of the National Academy of Sciences of the United States of America","id":"ITEM-1","issue":"28","issued":{"date-parts":[["2018"]]},"page":"7362-7367","title":"Fisheries bycatch risk to marine megafauna is intensified in Lagrangian coherent structures","type":"article-journal","volume":"115"},"uris":["http://www.mendeley.com/documents/?uuid=768a4ca6-ba86-4f3d-ad0e-1481df003c3c"]},{"id":"ITEM-2","itemData":{"DOI":"10.1016/j.biocon.2013.12.035","ISSN":"00063207","abstract":"Pelagic longline fisheries in the southwest Atlantic are a major conservation concern for several threatened seabirds, including four species of great albatrosses: wandering albatross (Diomedea exulans), Tristan albatross (Diomedea dabbenena), southern royal albatross (Diomedea epomophora) and northern royal albatross (Diomedea sanfordi). The aim of this study was to examine the spatial and temporal variation in bycatch rates of these species, and to identify the contributing environmental and operational factors. We used data collected by observers on board pelagic longliners in the Uruguayan fleet in 2004-2011, and on Japanese vessels operating in Uruguay under an experimental fishing license in 2009-2011. Bycatch rates for northern and southern royal albatrosses were higher than expected based on previous reports, particularly over the shelf break. Wandering and Tristan albatrosses were caught predominantly in pelagic waters, where there are numerous fishing fleets from other flag states. Bycatch of great albatrosses was highest in April-November, with the peak for royal albatrosses in June-July, and for wandering and Tristan albatrosses in September-November. A range of vessel operational practices and habitat variables affected bycatch rates, among which setting time, moon phase, area and season are useful in terms of risk assessment, and in the development and improvement of conservation measures for these highly threatened species. © 2014 Elsevier Ltd.","author":[{"dropping-particle":"","family":"Jiménez","given":"Sebastián","non-dropping-particle":"","parse-names":false,"suffix":""},{"dropping-particle":"","family":"Phillips","given":"Richard A.","non-dropping-particle":"","parse-names":false,"suffix":""},{"dropping-particle":"","family":"Brazeiro","given":"Alejandro","non-dropping-particle":"","parse-names":false,"suffix":""},{"dropping-particle":"","family":"Defeo","given":"Omar","non-dropping-particle":"","parse-names":false,"suffix":""},{"dropping-particle":"","family":"Domingo","given":"Andrés","non-dropping-particle":"","parse-names":false,"suffix":""}],"container-title":"Biological Conservation","id":"ITEM-2","issued":{"date-parts":[["2014"]]},"page":"9-20","title":"Bycatch of great albatrosses in pelagic longline fisheries in the southwest Atlantic: Contributing factors and implications for management","type":"article-journal","volume":"171"},"uris":["http://www.mendeley.com/documents/?uuid=8802b310-d35f-4fb0-8ff7-a9739b0b5e26"]}],"mendeley":{"formattedCitation":"(Jiménez &lt;i&gt;et al.&lt;/i&gt;, 2014; Scales &lt;i&gt;et al.&lt;/i&gt;, 2018)","plainTextFormattedCitation":"(Jiménez et al., 2014; Scales et al., 2018)","previouslyFormattedCitation":"(Jiménez &lt;i&gt;et al.&lt;/i&gt;, 2014; Scales &lt;i&gt;et al.&lt;/i&gt;, 2018)"},"properties":{"noteIndex":0},"schema":"https://github.com/citation-style-language/schema/raw/master/csl-citation.json"}</w:instrText>
      </w:r>
      <w:r w:rsidR="00EF2B2B" w:rsidRPr="00A34CD9">
        <w:rPr>
          <w:rFonts w:cstheme="minorHAnsi"/>
          <w:lang w:val="en-GB"/>
        </w:rPr>
        <w:fldChar w:fldCharType="separate"/>
      </w:r>
      <w:r w:rsidR="00D0099C" w:rsidRPr="00A34CD9">
        <w:rPr>
          <w:rFonts w:cstheme="minorHAnsi"/>
          <w:noProof/>
          <w:lang w:val="en-GB"/>
        </w:rPr>
        <w:t xml:space="preserve">(Jiménez </w:t>
      </w:r>
      <w:r w:rsidR="00D0099C" w:rsidRPr="00A34CD9">
        <w:rPr>
          <w:rFonts w:cstheme="minorHAnsi"/>
          <w:i/>
          <w:noProof/>
          <w:lang w:val="en-GB"/>
        </w:rPr>
        <w:t>et al.</w:t>
      </w:r>
      <w:r w:rsidR="00D0099C" w:rsidRPr="00A34CD9">
        <w:rPr>
          <w:rFonts w:cstheme="minorHAnsi"/>
          <w:noProof/>
          <w:lang w:val="en-GB"/>
        </w:rPr>
        <w:t xml:space="preserve">, 2014; Scales </w:t>
      </w:r>
      <w:r w:rsidR="00D0099C" w:rsidRPr="00A34CD9">
        <w:rPr>
          <w:rFonts w:cstheme="minorHAnsi"/>
          <w:i/>
          <w:noProof/>
          <w:lang w:val="en-GB"/>
        </w:rPr>
        <w:t>et al.</w:t>
      </w:r>
      <w:r w:rsidR="00D0099C" w:rsidRPr="00A34CD9">
        <w:rPr>
          <w:rFonts w:cstheme="minorHAnsi"/>
          <w:noProof/>
          <w:lang w:val="en-GB"/>
        </w:rPr>
        <w:t>, 2018)</w:t>
      </w:r>
      <w:r w:rsidR="00EF2B2B" w:rsidRPr="00A34CD9">
        <w:rPr>
          <w:rFonts w:cstheme="minorHAnsi"/>
          <w:lang w:val="en-GB"/>
        </w:rPr>
        <w:fldChar w:fldCharType="end"/>
      </w:r>
      <w:r w:rsidR="00784BEA" w:rsidRPr="00A34CD9">
        <w:rPr>
          <w:rFonts w:cstheme="minorHAnsi"/>
          <w:lang w:val="en-GB"/>
        </w:rPr>
        <w:t xml:space="preserve">. </w:t>
      </w:r>
      <w:r w:rsidR="00EB156F" w:rsidRPr="00A34CD9">
        <w:rPr>
          <w:rFonts w:cstheme="minorHAnsi"/>
          <w:lang w:val="en-GB"/>
        </w:rPr>
        <w:t>Overall</w:t>
      </w:r>
      <w:r w:rsidR="000F10C7" w:rsidRPr="00A34CD9">
        <w:rPr>
          <w:rFonts w:cstheme="minorHAnsi"/>
          <w:lang w:val="en-GB"/>
        </w:rPr>
        <w:t xml:space="preserve">, </w:t>
      </w:r>
      <w:r w:rsidR="001320AF" w:rsidRPr="00A34CD9">
        <w:rPr>
          <w:rFonts w:cstheme="minorHAnsi"/>
          <w:lang w:val="en-GB"/>
        </w:rPr>
        <w:t xml:space="preserve">areas of </w:t>
      </w:r>
      <w:r w:rsidR="00EC62F9" w:rsidRPr="00A34CD9">
        <w:rPr>
          <w:rFonts w:cstheme="minorHAnsi"/>
          <w:lang w:val="en-GB"/>
        </w:rPr>
        <w:t xml:space="preserve">potential </w:t>
      </w:r>
      <w:r w:rsidR="005E3B4B" w:rsidRPr="00A34CD9">
        <w:rPr>
          <w:rFonts w:cstheme="minorHAnsi"/>
          <w:lang w:val="en-GB"/>
        </w:rPr>
        <w:t xml:space="preserve">risk </w:t>
      </w:r>
      <w:r w:rsidR="00EC62F9" w:rsidRPr="00A34CD9">
        <w:rPr>
          <w:rFonts w:cstheme="minorHAnsi"/>
          <w:lang w:val="en-GB"/>
        </w:rPr>
        <w:t xml:space="preserve">of </w:t>
      </w:r>
      <w:r w:rsidR="005E3B4B" w:rsidRPr="00A34CD9">
        <w:rPr>
          <w:rFonts w:cstheme="minorHAnsi"/>
          <w:lang w:val="en-GB"/>
        </w:rPr>
        <w:t xml:space="preserve">bycatch </w:t>
      </w:r>
      <w:r w:rsidR="001320AF" w:rsidRPr="00A34CD9">
        <w:rPr>
          <w:rFonts w:cstheme="minorHAnsi"/>
          <w:lang w:val="en-GB"/>
        </w:rPr>
        <w:t>by</w:t>
      </w:r>
      <w:r w:rsidR="00BD595B" w:rsidRPr="00A34CD9">
        <w:rPr>
          <w:rFonts w:cstheme="minorHAnsi"/>
          <w:lang w:val="en-GB"/>
        </w:rPr>
        <w:t xml:space="preserve"> the artisanal tuna fishing fleet</w:t>
      </w:r>
      <w:r w:rsidR="001320AF" w:rsidRPr="00A34CD9">
        <w:rPr>
          <w:rFonts w:cstheme="minorHAnsi"/>
          <w:lang w:val="en-GB"/>
        </w:rPr>
        <w:t>,</w:t>
      </w:r>
      <w:r w:rsidR="000F10C7" w:rsidRPr="00A34CD9">
        <w:rPr>
          <w:rFonts w:cstheme="minorHAnsi"/>
          <w:lang w:val="en-GB"/>
        </w:rPr>
        <w:t xml:space="preserve"> </w:t>
      </w:r>
      <w:r w:rsidR="005E3B4B" w:rsidRPr="00A34CD9">
        <w:rPr>
          <w:rFonts w:cstheme="minorHAnsi"/>
          <w:lang w:val="en-GB"/>
        </w:rPr>
        <w:t>seems to be</w:t>
      </w:r>
      <w:r w:rsidR="00397820" w:rsidRPr="00A34CD9">
        <w:rPr>
          <w:rFonts w:cstheme="minorHAnsi"/>
          <w:lang w:val="en-GB"/>
        </w:rPr>
        <w:t xml:space="preserve"> driven by</w:t>
      </w:r>
      <w:r w:rsidR="00B97A77" w:rsidRPr="00A34CD9">
        <w:rPr>
          <w:rFonts w:cstheme="minorHAnsi"/>
          <w:lang w:val="en-GB"/>
        </w:rPr>
        <w:t xml:space="preserve"> seabirds and </w:t>
      </w:r>
      <w:r w:rsidR="0023394D" w:rsidRPr="00A34CD9">
        <w:rPr>
          <w:rFonts w:cstheme="minorHAnsi"/>
          <w:lang w:val="en-GB"/>
        </w:rPr>
        <w:t>tuna</w:t>
      </w:r>
      <w:r w:rsidR="00B97A77" w:rsidRPr="00A34CD9">
        <w:rPr>
          <w:rFonts w:cstheme="minorHAnsi"/>
          <w:lang w:val="en-GB"/>
        </w:rPr>
        <w:t xml:space="preserve"> </w:t>
      </w:r>
      <w:r w:rsidR="0023394D" w:rsidRPr="00A34CD9">
        <w:rPr>
          <w:rFonts w:cstheme="minorHAnsi"/>
          <w:lang w:val="en-GB"/>
        </w:rPr>
        <w:t>sharing the same resources</w:t>
      </w:r>
      <w:r w:rsidR="0056369E" w:rsidRPr="00A34CD9">
        <w:rPr>
          <w:rFonts w:cstheme="minorHAnsi"/>
          <w:lang w:val="en-GB"/>
        </w:rPr>
        <w:t xml:space="preserve">. </w:t>
      </w:r>
      <w:r w:rsidR="001407F5" w:rsidRPr="00A34CD9">
        <w:rPr>
          <w:rFonts w:cstheme="minorHAnsi"/>
          <w:lang w:val="en-GB"/>
        </w:rPr>
        <w:t xml:space="preserve">This finding is supported by </w:t>
      </w:r>
      <w:r w:rsidR="00385322" w:rsidRPr="00A34CD9">
        <w:rPr>
          <w:rFonts w:cstheme="minorHAnsi"/>
          <w:lang w:val="en-GB"/>
        </w:rPr>
        <w:t>p</w:t>
      </w:r>
      <w:r w:rsidR="0056369E" w:rsidRPr="00A34CD9">
        <w:rPr>
          <w:rFonts w:cstheme="minorHAnsi"/>
          <w:lang w:val="en-GB"/>
        </w:rPr>
        <w:t xml:space="preserve">revious studies </w:t>
      </w:r>
      <w:r w:rsidR="00E2097D" w:rsidRPr="00A34CD9">
        <w:rPr>
          <w:rFonts w:cstheme="minorHAnsi"/>
          <w:lang w:val="en-GB"/>
        </w:rPr>
        <w:t>evidencing</w:t>
      </w:r>
      <w:r w:rsidR="009277F9" w:rsidRPr="00A34CD9">
        <w:rPr>
          <w:rFonts w:cstheme="minorHAnsi"/>
          <w:lang w:val="en-GB"/>
        </w:rPr>
        <w:t xml:space="preserve"> tuna</w:t>
      </w:r>
      <w:r w:rsidR="0079277C" w:rsidRPr="00A34CD9">
        <w:rPr>
          <w:rFonts w:cstheme="minorHAnsi"/>
          <w:lang w:val="en-GB"/>
        </w:rPr>
        <w:t>-seabirds positive interactions</w:t>
      </w:r>
      <w:r w:rsidR="005E106E" w:rsidRPr="00A34CD9">
        <w:rPr>
          <w:rFonts w:cstheme="minorHAnsi"/>
          <w:lang w:val="en-GB"/>
        </w:rPr>
        <w:t xml:space="preserve"> via foraging facilitation </w:t>
      </w:r>
      <w:r w:rsidR="005E106E" w:rsidRPr="00A34CD9">
        <w:rPr>
          <w:rFonts w:cstheme="minorHAnsi"/>
          <w:i/>
          <w:iCs/>
          <w:lang w:val="en-GB"/>
        </w:rPr>
        <w:t>i.e.,</w:t>
      </w:r>
      <w:r w:rsidR="005E106E" w:rsidRPr="00A34CD9">
        <w:rPr>
          <w:rFonts w:cstheme="minorHAnsi"/>
          <w:lang w:val="en-GB"/>
        </w:rPr>
        <w:t xml:space="preserve"> </w:t>
      </w:r>
      <w:r w:rsidR="00A549C2" w:rsidRPr="00A34CD9">
        <w:rPr>
          <w:rFonts w:cstheme="minorHAnsi"/>
          <w:lang w:val="en-GB"/>
        </w:rPr>
        <w:t>tuna species drive prey upwards making them available to surface feeding seabirds</w:t>
      </w:r>
      <w:r w:rsidR="00385322" w:rsidRPr="00A34CD9">
        <w:rPr>
          <w:rFonts w:cstheme="minorHAnsi"/>
          <w:lang w:val="en-GB"/>
        </w:rPr>
        <w:t xml:space="preserve"> </w:t>
      </w:r>
      <w:r w:rsidR="001D2E57" w:rsidRPr="00A34CD9">
        <w:rPr>
          <w:rFonts w:cstheme="minorHAnsi"/>
          <w:lang w:val="en-GB"/>
        </w:rPr>
        <w:fldChar w:fldCharType="begin" w:fldLock="1"/>
      </w:r>
      <w:r w:rsidR="004E4678" w:rsidRPr="00A34CD9">
        <w:rPr>
          <w:rFonts w:cstheme="minorHAnsi"/>
          <w:lang w:val="en-GB"/>
        </w:rPr>
        <w:instrText>ADDIN CSL_CITATION {"citationItems":[{"id":"ITEM-1","itemData":{"ISBN":"0000000000000","author":[{"dropping-particle":"","family":"Miller","given":"M.G.R.","non-dropping-particle":"","parse-names":false,"suffix":""},{"dropping-particle":"","family":"Carlile","given":"N.","non-dropping-particle":"","parse-names":false,"suffix":""},{"dropping-particle":"","family":"Phillips","given":"J.S.","non-dropping-particle":"","parse-names":false,"suffix":""},{"dropping-particle":"","family":"McDuie","given":"F.","non-dropping-particle":"","parse-names":false,"suffix":""},{"dropping-particle":"","family":"Congdon","given":"B.C.","non-dropping-particle":"","parse-names":false,"suffix":""}],"container-title":"Marine Ecology Progress Series","id":"ITEM-1","issued":{"date-parts":[["2018"]]},"page":"233-249","title":"The importance of tropical tuna for seabirds foraging over a marine productivity gradient.","type":"article-journal","volume":"586"},"uris":["http://www.mendeley.com/documents/?uuid=51afb275-f1e4-434e-93f2-e449151de922"]},{"id":"ITEM-2","itemData":{"DOI":"10.3389/fevo.2017.00121","ISBN":"2296-701X","ISSN":"2296-701X","abstract":"There is increasing recognition of the importance of “positive interactions” among species in structuring communities. For seabirds, an important kind of positive interaction is the use of birds of the same species, birds of other species, and other marine predators such as cetaceans, seals and fishes as cues to the presence of prey. The process by which a single bird uses, say, a feeding flock of birds as a cue to the presence of prey is called “local enhancement” or “facilitation”. There are subtly different uses of each of these terms, but the issue we address here is the ubiquity of positive interactions between seabirds and other marine predators when foraging at sea, and whether as a result of their associations the feeding success, and therefore presumably the fitness, of individual seabirds is increased. If this contention is true, then it implies that conservation of any one species of seabird must take into consideration the status and possible conservation of those species that the focal species uses as a cue while foraging. For example, conservation of great shearwaters (Ardenna gravis), which often feed over tuna (e.g. Thunnus) schools, should take in to consideration conservation of tuna. Ecosystem management depends on understanding the importance of such processes; the loss of biodiversity, and the consequent threat to foraging success, may be a substantial threat to the stability of marine ecosystems.","author":[{"dropping-particle":"","family":"Veit","given":"Richard R.","non-dropping-particle":"","parse-names":false,"suffix":""},{"dropping-particle":"","family":"Harrison","given":"Nancy M.","non-dropping-particle":"","parse-names":false,"suffix":""}],"container-title":"Frontiers in Ecology and Evolution","id":"ITEM-2","issued":{"date-parts":[["2017","10","6"]]},"page":"121","publisher":"Frontiers","title":"Positive Interactions among Foraging Seabirds, Marine Mammals and Fishes and Implications for Their Conservation","type":"article-journal","volume":"5"},"uris":["http://www.mendeley.com/documents/?uuid=67256828-34b4-3e54-80c2-f6e85ea2091d"]}],"mendeley":{"formattedCitation":"(Veit and Harrison, 2017; Miller &lt;i&gt;et al.&lt;/i&gt;, 2018)","plainTextFormattedCitation":"(Veit and Harrison, 2017; Miller et al., 2018)","previouslyFormattedCitation":"(Veit and Harrison, 2017; Miller &lt;i&gt;et al.&lt;/i&gt;, 2018)"},"properties":{"noteIndex":0},"schema":"https://github.com/citation-style-language/schema/raw/master/csl-citation.json"}</w:instrText>
      </w:r>
      <w:r w:rsidR="001D2E57" w:rsidRPr="00A34CD9">
        <w:rPr>
          <w:rFonts w:cstheme="minorHAnsi"/>
          <w:lang w:val="en-GB"/>
        </w:rPr>
        <w:fldChar w:fldCharType="separate"/>
      </w:r>
      <w:r w:rsidR="00460229" w:rsidRPr="00A34CD9">
        <w:rPr>
          <w:rFonts w:cstheme="minorHAnsi"/>
          <w:noProof/>
          <w:lang w:val="en-GB"/>
        </w:rPr>
        <w:t xml:space="preserve">(Veit and Harrison, 2017; Miller </w:t>
      </w:r>
      <w:r w:rsidR="00460229" w:rsidRPr="00A34CD9">
        <w:rPr>
          <w:rFonts w:cstheme="minorHAnsi"/>
          <w:i/>
          <w:noProof/>
          <w:lang w:val="en-GB"/>
        </w:rPr>
        <w:t>et al.</w:t>
      </w:r>
      <w:r w:rsidR="00460229" w:rsidRPr="00A34CD9">
        <w:rPr>
          <w:rFonts w:cstheme="minorHAnsi"/>
          <w:noProof/>
          <w:lang w:val="en-GB"/>
        </w:rPr>
        <w:t>, 2018)</w:t>
      </w:r>
      <w:r w:rsidR="001D2E57" w:rsidRPr="00A34CD9">
        <w:rPr>
          <w:rFonts w:cstheme="minorHAnsi"/>
          <w:lang w:val="en-GB"/>
        </w:rPr>
        <w:fldChar w:fldCharType="end"/>
      </w:r>
      <w:r w:rsidR="00423057" w:rsidRPr="00A34CD9">
        <w:rPr>
          <w:rFonts w:cstheme="minorHAnsi"/>
          <w:lang w:val="en-GB"/>
        </w:rPr>
        <w:t xml:space="preserve"> </w:t>
      </w:r>
      <w:r w:rsidR="00247BC7" w:rsidRPr="00A34CD9">
        <w:rPr>
          <w:rFonts w:cstheme="minorHAnsi"/>
          <w:lang w:val="en-GB"/>
        </w:rPr>
        <w:t>as well as by</w:t>
      </w:r>
      <w:r w:rsidR="00423057" w:rsidRPr="00A34CD9">
        <w:rPr>
          <w:rFonts w:cstheme="minorHAnsi"/>
          <w:lang w:val="en-GB"/>
        </w:rPr>
        <w:t xml:space="preserve"> </w:t>
      </w:r>
      <w:r w:rsidR="005C5428" w:rsidRPr="00A34CD9">
        <w:rPr>
          <w:rFonts w:cstheme="minorHAnsi"/>
          <w:lang w:val="en-GB"/>
        </w:rPr>
        <w:t>the</w:t>
      </w:r>
      <w:r w:rsidR="00430C29" w:rsidRPr="00A34CD9">
        <w:rPr>
          <w:rFonts w:cstheme="minorHAnsi"/>
          <w:lang w:val="en-GB"/>
        </w:rPr>
        <w:t xml:space="preserve"> well</w:t>
      </w:r>
      <w:r w:rsidR="00BB2812" w:rsidRPr="00A34CD9">
        <w:rPr>
          <w:rFonts w:cstheme="minorHAnsi"/>
          <w:lang w:val="en-GB"/>
        </w:rPr>
        <w:t>-</w:t>
      </w:r>
      <w:r w:rsidR="00430C29" w:rsidRPr="00A34CD9">
        <w:rPr>
          <w:rFonts w:cstheme="minorHAnsi"/>
          <w:lang w:val="en-GB"/>
        </w:rPr>
        <w:t xml:space="preserve">known </w:t>
      </w:r>
      <w:r w:rsidR="005C5428" w:rsidRPr="00A34CD9">
        <w:rPr>
          <w:rFonts w:cstheme="minorHAnsi"/>
          <w:lang w:val="en-GB"/>
        </w:rPr>
        <w:t xml:space="preserve">behaviour of </w:t>
      </w:r>
      <w:r w:rsidR="0050525D" w:rsidRPr="00A34CD9">
        <w:rPr>
          <w:rFonts w:cstheme="minorHAnsi"/>
          <w:lang w:val="en-GB"/>
        </w:rPr>
        <w:t>tuna fisher</w:t>
      </w:r>
      <w:r w:rsidR="00BB2812" w:rsidRPr="00A34CD9">
        <w:rPr>
          <w:rFonts w:cstheme="minorHAnsi"/>
          <w:lang w:val="en-GB"/>
        </w:rPr>
        <w:t>ies</w:t>
      </w:r>
      <w:r w:rsidR="009C0C58" w:rsidRPr="00A34CD9">
        <w:rPr>
          <w:rFonts w:cstheme="minorHAnsi"/>
          <w:lang w:val="en-GB"/>
        </w:rPr>
        <w:t xml:space="preserve"> </w:t>
      </w:r>
      <w:r w:rsidR="0050525D" w:rsidRPr="00A34CD9">
        <w:rPr>
          <w:rFonts w:cstheme="minorHAnsi"/>
          <w:lang w:val="en-GB"/>
        </w:rPr>
        <w:t>us</w:t>
      </w:r>
      <w:r w:rsidR="00E2097D" w:rsidRPr="00A34CD9">
        <w:rPr>
          <w:rFonts w:cstheme="minorHAnsi"/>
          <w:lang w:val="en-GB"/>
        </w:rPr>
        <w:t>ing</w:t>
      </w:r>
      <w:r w:rsidR="0050525D" w:rsidRPr="00A34CD9">
        <w:rPr>
          <w:rFonts w:cstheme="minorHAnsi"/>
          <w:lang w:val="en-GB"/>
        </w:rPr>
        <w:t xml:space="preserve"> the presence of </w:t>
      </w:r>
      <w:r w:rsidR="00A42DE3" w:rsidRPr="00A34CD9">
        <w:rPr>
          <w:rFonts w:cstheme="minorHAnsi"/>
          <w:lang w:val="en-GB"/>
        </w:rPr>
        <w:t>seabirds</w:t>
      </w:r>
      <w:r w:rsidR="0050525D" w:rsidRPr="00A34CD9">
        <w:rPr>
          <w:rFonts w:cstheme="minorHAnsi"/>
          <w:lang w:val="en-GB"/>
        </w:rPr>
        <w:t xml:space="preserve"> </w:t>
      </w:r>
      <w:r w:rsidR="009C0C58" w:rsidRPr="00A34CD9">
        <w:rPr>
          <w:rFonts w:cstheme="minorHAnsi"/>
          <w:lang w:val="en-GB"/>
        </w:rPr>
        <w:t xml:space="preserve">as cue </w:t>
      </w:r>
      <w:r w:rsidR="0050525D" w:rsidRPr="00A34CD9">
        <w:rPr>
          <w:rFonts w:cstheme="minorHAnsi"/>
          <w:lang w:val="en-GB"/>
        </w:rPr>
        <w:t>to detect tuna schools</w:t>
      </w:r>
      <w:r w:rsidR="009736F4" w:rsidRPr="00A34CD9">
        <w:rPr>
          <w:rFonts w:cstheme="minorHAnsi"/>
          <w:lang w:val="en-GB"/>
        </w:rPr>
        <w:t xml:space="preserve"> </w:t>
      </w:r>
      <w:r w:rsidR="004E4678" w:rsidRPr="00A34CD9">
        <w:rPr>
          <w:rFonts w:cstheme="minorHAnsi"/>
          <w:lang w:val="en-GB"/>
        </w:rPr>
        <w:fldChar w:fldCharType="begin" w:fldLock="1"/>
      </w:r>
      <w:r w:rsidR="004E4678" w:rsidRPr="00A34CD9">
        <w:rPr>
          <w:rFonts w:cstheme="minorHAnsi"/>
          <w:lang w:val="en-GB"/>
        </w:rPr>
        <w:instrText>ADDIN CSL_CITATION {"citationItems":[{"id":"ITEM-1","itemData":{"DOI":"10.1016/j.csr.2019.05.013","ISSN":"18736955","abstract":"This study reports on the automated counting and sizing of Atlantic bluefin tuna (ABFT) schools using medium range sonar data extracted from a systematic acoustic sampling survey in the Bay of Biscay (BoB). An image analysis program is used to obtain the morphometric characteristics of any objects detected by the sonar. These objects are classified into “Tuna” or “Non-Tuna” using a morphometric classification model (MCM). Next, the vessel's operational data are also extracted using optical character recognition (OCR), and a novel methodology for counting and sizing ABFT schools is developed. Validation of the school counting methodology is carried out by comparing the number of observed and estimated schools, and the dimensions of the schools are standardised for the effect of sonar gain and range. Unlike existing baitboat catch per unit effort (CPUE)-based abundance indices, this methodology avoids bias that arises from inter-annual changes in food availability, stomach repletion and/or feeding behaviour. Thus, the estimated number of tuna schools and their relative size can provide more fisheries with independent abundance estimates. This methodology can be applied in two ways: i) for detecting schools on images recorded by the commercial baitboat fleet during their regular fishing operations, to replace the currently used CPUE index with a new standardised detection per unit effort (DPUE) index, or ii) for performing scientifically designed systematic acoustic surveys to monitor the abundance of this species in the BoB year after year.","author":[{"dropping-particle":"","family":"Uranga","given":"Jon","non-dropping-particle":"","parse-names":false,"suffix":""},{"dropping-particle":"","family":"Arrizabalaga","given":"Haritz","non-dropping-particle":"","parse-names":false,"suffix":""},{"dropping-particle":"","family":"Boyra","given":"Guillermo","non-dropping-particle":"","parse-names":false,"suffix":""},{"dropping-particle":"","family":"Hernandez","given":"Carmen","non-dropping-particle":"","parse-names":false,"suffix":""},{"dropping-particle":"","family":"Goñi","given":"Nicolas","non-dropping-particle":"","parse-names":false,"suffix":""}],"container-title":"Continental Shelf Research","id":"ITEM-1","issue":"March","issued":{"date-parts":[["2019"]]},"page":"37-45","publisher":"Elsevier Ltd","title":"Counting and sizing Atlantic bluefin tuna schools using medium range sonars of baitboats in the Bay of Biscay","type":"article-journal","volume":"182"},"uris":["http://www.mendeley.com/documents/?uuid=ab4f0447-dbc4-4f71-ba52-310a50eec930"]}],"mendeley":{"formattedCitation":"(Uranga &lt;i&gt;et al.&lt;/i&gt;, 2019)","plainTextFormattedCitation":"(Uranga et al., 2019)","previouslyFormattedCitation":"(Uranga &lt;i&gt;et al.&lt;/i&gt;, 2019)"},"properties":{"noteIndex":0},"schema":"https://github.com/citation-style-language/schema/raw/master/csl-citation.json"}</w:instrText>
      </w:r>
      <w:r w:rsidR="004E4678" w:rsidRPr="00A34CD9">
        <w:rPr>
          <w:rFonts w:cstheme="minorHAnsi"/>
          <w:lang w:val="en-GB"/>
        </w:rPr>
        <w:fldChar w:fldCharType="separate"/>
      </w:r>
      <w:r w:rsidR="004E4678" w:rsidRPr="00A34CD9">
        <w:rPr>
          <w:rFonts w:cstheme="minorHAnsi"/>
          <w:noProof/>
          <w:lang w:val="en-GB"/>
        </w:rPr>
        <w:t xml:space="preserve">(Uranga </w:t>
      </w:r>
      <w:r w:rsidR="004E4678" w:rsidRPr="00A34CD9">
        <w:rPr>
          <w:rFonts w:cstheme="minorHAnsi"/>
          <w:i/>
          <w:noProof/>
          <w:lang w:val="en-GB"/>
        </w:rPr>
        <w:t>et al.</w:t>
      </w:r>
      <w:r w:rsidR="004E4678" w:rsidRPr="00A34CD9">
        <w:rPr>
          <w:rFonts w:cstheme="minorHAnsi"/>
          <w:noProof/>
          <w:lang w:val="en-GB"/>
        </w:rPr>
        <w:t>, 2019)</w:t>
      </w:r>
      <w:r w:rsidR="004E4678" w:rsidRPr="00A34CD9">
        <w:rPr>
          <w:rFonts w:cstheme="minorHAnsi"/>
          <w:lang w:val="en-GB"/>
        </w:rPr>
        <w:fldChar w:fldCharType="end"/>
      </w:r>
      <w:r w:rsidR="004E4678" w:rsidRPr="00A34CD9">
        <w:rPr>
          <w:rFonts w:cstheme="minorHAnsi"/>
          <w:lang w:val="en-GB"/>
        </w:rPr>
        <w:t>.</w:t>
      </w:r>
    </w:p>
    <w:p w14:paraId="78C70F9D" w14:textId="64065104" w:rsidR="004F7CC7" w:rsidRPr="00A34CD9" w:rsidRDefault="004F7CC7" w:rsidP="002A528E">
      <w:pPr>
        <w:suppressLineNumbers/>
        <w:spacing w:line="480" w:lineRule="auto"/>
        <w:jc w:val="both"/>
        <w:rPr>
          <w:rFonts w:cstheme="minorHAnsi"/>
          <w:lang w:val="en-GB"/>
        </w:rPr>
      </w:pPr>
      <w:r w:rsidRPr="00A34CD9">
        <w:rPr>
          <w:rFonts w:cstheme="minorHAnsi"/>
          <w:lang w:val="en-GB"/>
        </w:rPr>
        <w:lastRenderedPageBreak/>
        <w:t xml:space="preserve">The ERAEF approach applied in this study must be interpreted within the limits of the data used. Even though such analyses are attractive because of their ease of implementation, a large volume of data, both for the species and for the fisheries, </w:t>
      </w:r>
      <w:r w:rsidR="00A34CD9" w:rsidRPr="00A34CD9">
        <w:rPr>
          <w:rFonts w:cstheme="minorHAnsi"/>
          <w:i/>
          <w:iCs/>
          <w:lang w:val="en-GB"/>
        </w:rPr>
        <w:t>e.g.,</w:t>
      </w:r>
      <w:r w:rsidRPr="00A34CD9">
        <w:rPr>
          <w:rFonts w:cstheme="minorHAnsi"/>
          <w:lang w:val="en-GB"/>
        </w:rPr>
        <w:t xml:space="preserve"> at-sea census, </w:t>
      </w:r>
      <w:proofErr w:type="spellStart"/>
      <w:r w:rsidRPr="00A34CD9">
        <w:rPr>
          <w:rFonts w:cstheme="minorHAnsi"/>
          <w:lang w:val="en-GB"/>
        </w:rPr>
        <w:t>spatio</w:t>
      </w:r>
      <w:proofErr w:type="spellEnd"/>
      <w:r w:rsidRPr="00A34CD9">
        <w:rPr>
          <w:rFonts w:cstheme="minorHAnsi"/>
          <w:lang w:val="en-GB"/>
        </w:rPr>
        <w:t xml:space="preserve">-temporal bycatch distribution, </w:t>
      </w:r>
      <w:proofErr w:type="gramStart"/>
      <w:r w:rsidRPr="00A34CD9">
        <w:rPr>
          <w:rFonts w:cstheme="minorHAnsi"/>
          <w:lang w:val="en-GB"/>
        </w:rPr>
        <w:t>demographic</w:t>
      </w:r>
      <w:proofErr w:type="gramEnd"/>
      <w:r w:rsidRPr="00A34CD9">
        <w:rPr>
          <w:rFonts w:cstheme="minorHAnsi"/>
          <w:lang w:val="en-GB"/>
        </w:rPr>
        <w:t xml:space="preserve"> or VMS data, are needed to obtain an absolute risk value. In the present study, the ERAEF approach applied through a PSA was based on the best quality spatial and temporal available data</w:t>
      </w:r>
      <w:r w:rsidR="00CB3BA7" w:rsidRPr="00A34CD9">
        <w:rPr>
          <w:rFonts w:cstheme="minorHAnsi"/>
          <w:lang w:val="en-GB"/>
        </w:rPr>
        <w:t xml:space="preserve">. </w:t>
      </w:r>
      <w:r w:rsidR="00052BA4" w:rsidRPr="00A34CD9">
        <w:rPr>
          <w:rFonts w:cstheme="minorHAnsi"/>
          <w:lang w:val="en-GB"/>
        </w:rPr>
        <w:t>Thus</w:t>
      </w:r>
      <w:r w:rsidR="008953F4" w:rsidRPr="00A34CD9">
        <w:rPr>
          <w:rFonts w:cstheme="minorHAnsi"/>
          <w:lang w:val="en-GB"/>
        </w:rPr>
        <w:t>,</w:t>
      </w:r>
      <w:r w:rsidRPr="00A34CD9">
        <w:rPr>
          <w:rFonts w:cstheme="minorHAnsi"/>
          <w:lang w:val="en-GB"/>
        </w:rPr>
        <w:t xml:space="preserve"> the risk obtained should be considered a relative measure of the potential risk based on precise attribute values that are reduced to a categorical scoring.</w:t>
      </w:r>
      <w:r w:rsidR="006E3E40" w:rsidRPr="00A34CD9">
        <w:rPr>
          <w:rFonts w:cstheme="minorHAnsi"/>
          <w:lang w:val="en-GB"/>
        </w:rPr>
        <w:t xml:space="preserve"> </w:t>
      </w:r>
    </w:p>
    <w:p w14:paraId="7FFEEC74" w14:textId="1C58D3FD" w:rsidR="00985539" w:rsidRPr="00A34CD9" w:rsidRDefault="002F1BCC" w:rsidP="002A528E">
      <w:pPr>
        <w:suppressLineNumbers/>
        <w:spacing w:line="480" w:lineRule="auto"/>
        <w:jc w:val="both"/>
        <w:rPr>
          <w:rFonts w:cstheme="minorHAnsi"/>
          <w:b/>
          <w:bCs/>
          <w:sz w:val="24"/>
          <w:szCs w:val="24"/>
          <w:lang w:val="en-GB"/>
        </w:rPr>
      </w:pPr>
      <w:r w:rsidRPr="00A34CD9">
        <w:rPr>
          <w:rFonts w:cstheme="minorHAnsi"/>
          <w:lang w:val="en-GB"/>
        </w:rPr>
        <w:t>Another insight of our ERAEF approach is tha</w:t>
      </w:r>
      <w:r w:rsidR="00E13097" w:rsidRPr="00A34CD9">
        <w:rPr>
          <w:rFonts w:cstheme="minorHAnsi"/>
          <w:lang w:val="en-GB"/>
        </w:rPr>
        <w:t>t susceptibility is measured as the degree of overlap</w:t>
      </w:r>
      <w:r w:rsidR="000849ED" w:rsidRPr="00A34CD9">
        <w:rPr>
          <w:rFonts w:cstheme="minorHAnsi"/>
          <w:lang w:val="en-GB"/>
        </w:rPr>
        <w:t xml:space="preserve"> between great shearwaters and fishing effort distribution</w:t>
      </w:r>
      <w:r w:rsidR="00BD28FE" w:rsidRPr="00A34CD9">
        <w:rPr>
          <w:rFonts w:cstheme="minorHAnsi"/>
          <w:lang w:val="en-GB"/>
        </w:rPr>
        <w:t xml:space="preserve">. </w:t>
      </w:r>
      <w:r w:rsidR="00491216" w:rsidRPr="00A34CD9">
        <w:rPr>
          <w:rFonts w:cstheme="minorHAnsi"/>
          <w:lang w:val="en-GB"/>
        </w:rPr>
        <w:t>The calculation of susceptibility</w:t>
      </w:r>
      <w:r w:rsidR="00471534" w:rsidRPr="00A34CD9">
        <w:rPr>
          <w:rFonts w:cstheme="minorHAnsi"/>
          <w:lang w:val="en-GB"/>
        </w:rPr>
        <w:t xml:space="preserve"> in this study</w:t>
      </w:r>
      <w:r w:rsidR="006706A8" w:rsidRPr="00A34CD9">
        <w:rPr>
          <w:rFonts w:cstheme="minorHAnsi"/>
          <w:lang w:val="en-GB"/>
        </w:rPr>
        <w:t xml:space="preserve"> </w:t>
      </w:r>
      <w:r w:rsidR="00855818" w:rsidRPr="00A34CD9">
        <w:rPr>
          <w:rFonts w:cstheme="minorHAnsi"/>
          <w:lang w:val="en-GB"/>
        </w:rPr>
        <w:t xml:space="preserve">benefits from the </w:t>
      </w:r>
      <w:r w:rsidR="00781209" w:rsidRPr="00A34CD9">
        <w:rPr>
          <w:rFonts w:cstheme="minorHAnsi"/>
          <w:lang w:val="en-GB"/>
        </w:rPr>
        <w:t>predicted abundance distribution maps</w:t>
      </w:r>
      <w:r w:rsidR="004D316D" w:rsidRPr="00A34CD9">
        <w:rPr>
          <w:rFonts w:cstheme="minorHAnsi"/>
          <w:lang w:val="en-GB"/>
        </w:rPr>
        <w:t xml:space="preserve"> and the VMS data</w:t>
      </w:r>
      <w:r w:rsidR="009118AD" w:rsidRPr="00A34CD9">
        <w:rPr>
          <w:rFonts w:cstheme="minorHAnsi"/>
          <w:lang w:val="en-GB"/>
        </w:rPr>
        <w:t xml:space="preserve"> instead of the use of </w:t>
      </w:r>
      <w:r w:rsidR="00ED4F29" w:rsidRPr="00A34CD9">
        <w:rPr>
          <w:rFonts w:cstheme="minorHAnsi"/>
          <w:lang w:val="en-GB"/>
        </w:rPr>
        <w:t xml:space="preserve">available </w:t>
      </w:r>
      <w:r w:rsidR="00121A80" w:rsidRPr="00A34CD9">
        <w:rPr>
          <w:rFonts w:cstheme="minorHAnsi"/>
          <w:lang w:val="en-GB"/>
        </w:rPr>
        <w:t xml:space="preserve">species </w:t>
      </w:r>
      <w:r w:rsidR="00B12D78" w:rsidRPr="00A34CD9">
        <w:rPr>
          <w:rFonts w:cstheme="minorHAnsi"/>
          <w:lang w:val="en-GB"/>
        </w:rPr>
        <w:t xml:space="preserve">habitat </w:t>
      </w:r>
      <w:r w:rsidR="006F7FBB" w:rsidRPr="00A34CD9">
        <w:rPr>
          <w:rFonts w:cstheme="minorHAnsi"/>
          <w:lang w:val="en-GB"/>
        </w:rPr>
        <w:t>suitability</w:t>
      </w:r>
      <w:r w:rsidR="009118AD" w:rsidRPr="00A34CD9">
        <w:rPr>
          <w:rFonts w:cstheme="minorHAnsi"/>
          <w:lang w:val="en-GB"/>
        </w:rPr>
        <w:t xml:space="preserve"> </w:t>
      </w:r>
      <w:r w:rsidR="009972B1" w:rsidRPr="00A34CD9">
        <w:rPr>
          <w:rFonts w:cstheme="minorHAnsi"/>
          <w:lang w:val="en-GB"/>
        </w:rPr>
        <w:t xml:space="preserve">or coarse </w:t>
      </w:r>
      <w:r w:rsidR="006248FC" w:rsidRPr="00A34CD9">
        <w:rPr>
          <w:rFonts w:cstheme="minorHAnsi"/>
          <w:lang w:val="en-GB"/>
        </w:rPr>
        <w:t>range</w:t>
      </w:r>
      <w:r w:rsidR="009972B1" w:rsidRPr="00A34CD9">
        <w:rPr>
          <w:rFonts w:cstheme="minorHAnsi"/>
          <w:lang w:val="en-GB"/>
        </w:rPr>
        <w:t xml:space="preserve"> </w:t>
      </w:r>
      <w:r w:rsidR="009118AD" w:rsidRPr="00A34CD9">
        <w:rPr>
          <w:rFonts w:cstheme="minorHAnsi"/>
          <w:lang w:val="en-GB"/>
        </w:rPr>
        <w:t>maps</w:t>
      </w:r>
      <w:r w:rsidR="00121A80" w:rsidRPr="00A34CD9">
        <w:rPr>
          <w:rFonts w:cstheme="minorHAnsi"/>
          <w:lang w:val="en-GB"/>
        </w:rPr>
        <w:t xml:space="preserve"> of species and fishing effort</w:t>
      </w:r>
      <w:r w:rsidR="00781209" w:rsidRPr="00A34CD9">
        <w:rPr>
          <w:rFonts w:cstheme="minorHAnsi"/>
          <w:lang w:val="en-GB"/>
        </w:rPr>
        <w:t xml:space="preserve">, the latter </w:t>
      </w:r>
      <w:r w:rsidR="00C239BC" w:rsidRPr="00A34CD9">
        <w:rPr>
          <w:rFonts w:cstheme="minorHAnsi"/>
          <w:lang w:val="en-GB"/>
        </w:rPr>
        <w:t xml:space="preserve">limiting </w:t>
      </w:r>
      <w:r w:rsidR="006B2C4B" w:rsidRPr="00A34CD9">
        <w:rPr>
          <w:rFonts w:cstheme="minorHAnsi"/>
          <w:lang w:val="en-GB"/>
        </w:rPr>
        <w:t xml:space="preserve">accuracy of </w:t>
      </w:r>
      <w:r w:rsidR="00C239BC" w:rsidRPr="00A34CD9">
        <w:rPr>
          <w:rFonts w:cstheme="minorHAnsi"/>
          <w:lang w:val="en-GB"/>
        </w:rPr>
        <w:t>the assessment</w:t>
      </w:r>
      <w:r w:rsidR="006B2C4B" w:rsidRPr="00A34CD9">
        <w:rPr>
          <w:rFonts w:cstheme="minorHAnsi"/>
          <w:lang w:val="en-GB"/>
        </w:rPr>
        <w:t>s</w:t>
      </w:r>
      <w:r w:rsidR="00121A80" w:rsidRPr="00A34CD9">
        <w:rPr>
          <w:rFonts w:cstheme="minorHAnsi"/>
          <w:lang w:val="en-GB"/>
        </w:rPr>
        <w:t>,</w:t>
      </w:r>
      <w:r w:rsidR="00462B1C" w:rsidRPr="00A34CD9">
        <w:rPr>
          <w:rFonts w:cstheme="minorHAnsi"/>
          <w:lang w:val="en-GB"/>
        </w:rPr>
        <w:t xml:space="preserve"> spatially and temporally</w:t>
      </w:r>
      <w:r w:rsidR="00D6404A" w:rsidRPr="00A34CD9">
        <w:rPr>
          <w:rFonts w:cstheme="minorHAnsi"/>
          <w:lang w:val="en-GB"/>
        </w:rPr>
        <w:t xml:space="preserve"> </w:t>
      </w:r>
      <w:r w:rsidR="00D6404A" w:rsidRPr="00A34CD9">
        <w:rPr>
          <w:rFonts w:cstheme="minorHAnsi"/>
          <w:lang w:val="en-GB"/>
        </w:rPr>
        <w:fldChar w:fldCharType="begin" w:fldLock="1"/>
      </w:r>
      <w:r w:rsidR="00607205" w:rsidRPr="00A34CD9">
        <w:rPr>
          <w:rFonts w:cstheme="minorHAnsi"/>
          <w:lang w:val="en-GB"/>
        </w:rPr>
        <w:instrText>ADDIN CSL_CITATION {"citationItems":[{"id":"ITEM-1","itemData":{"DOI":"10.1016/j.marpol.2012.05.001","ISSN":"0308597X","abstract":"Many marine species are threatened by high levels of incidental mortality in fisheries. This paper reviews the design of selected recent, detailed Ecological Risk Assessments (ERAs) of the effects of fishing on seabirds. Several aspects of ERA methodology for seabirds are still in development, including the most appropriate ways to: predict seabird distribution and fisheries overlap; handle data gaps; compare productivity and susceptibility among species; and incorporate data on bycatch. Nor is there consensus on rules for selecting species or populations for inclusion in assessments, the appropriate spatial and temporal resolution for the analyses, and the definition of risk. Despite these uncertainties, the clear benefits of undertaking quantitative or semi-quantitative ERAs include the identification of particularly vulnerable species or populations and of key areas and seasons in which bycatch may be occurring, and the highlighting of data gaps and priorities for future monitoring. ERAs are likely to be particularly effective where explicit links are established at the outset between the outcomes or conclusions of the ERA and management responses. A precautionary approach to bycatch mitigation can then be embedded in the broader fisheries management framework. However, this requires that the ERA process is not overly complex or is prolonged to the extent that it draws attention away from existing responsibilities and commitments to reduce bycatch per se. When selecting the best approach, it is vital to balance desired outputs against the availability of data for the assessment, and to deal with data gaps in a precautionary manner. © 2012 Elsevier Ltd.","author":[{"dropping-particle":"","family":"Small","given":"Cleo","non-dropping-particle":"","parse-names":false,"suffix":""},{"dropping-particle":"","family":"Waugh","given":"Susan M.","non-dropping-particle":"","parse-names":false,"suffix":""},{"dropping-particle":"","family":"Phillips","given":"Richard A.","non-dropping-particle":"","parse-names":false,"suffix":""}],"container-title":"Marine Policy","id":"ITEM-1","issue":"1","issued":{"date-parts":[["2013"]]},"page":"192-199","publisher":"Elsevier","title":"The justification, design and implementation of Ecological Risk Assessments of the effects of fishing on seabirds","type":"article-journal","volume":"37"},"uris":["http://www.mendeley.com/documents/?uuid=93845e4f-4dbb-409b-bb88-7088c5f303e7"]}],"mendeley":{"formattedCitation":"(Small &lt;i&gt;et al.&lt;/i&gt;, 2013)","plainTextFormattedCitation":"(Small et al., 2013)","previouslyFormattedCitation":"(Small &lt;i&gt;et al.&lt;/i&gt;, 2013)"},"properties":{"noteIndex":0},"schema":"https://github.com/citation-style-language/schema/raw/master/csl-citation.json"}</w:instrText>
      </w:r>
      <w:r w:rsidR="00D6404A" w:rsidRPr="00A34CD9">
        <w:rPr>
          <w:rFonts w:cstheme="minorHAnsi"/>
          <w:lang w:val="en-GB"/>
        </w:rPr>
        <w:fldChar w:fldCharType="separate"/>
      </w:r>
      <w:r w:rsidR="00D6404A" w:rsidRPr="00A34CD9">
        <w:rPr>
          <w:rFonts w:cstheme="minorHAnsi"/>
          <w:noProof/>
          <w:lang w:val="en-GB"/>
        </w:rPr>
        <w:t xml:space="preserve">(Small </w:t>
      </w:r>
      <w:r w:rsidR="00D6404A" w:rsidRPr="00A34CD9">
        <w:rPr>
          <w:rFonts w:cstheme="minorHAnsi"/>
          <w:i/>
          <w:noProof/>
          <w:lang w:val="en-GB"/>
        </w:rPr>
        <w:t>et al.</w:t>
      </w:r>
      <w:r w:rsidR="00D6404A" w:rsidRPr="00A34CD9">
        <w:rPr>
          <w:rFonts w:cstheme="minorHAnsi"/>
          <w:noProof/>
          <w:lang w:val="en-GB"/>
        </w:rPr>
        <w:t>, 2013)</w:t>
      </w:r>
      <w:r w:rsidR="00D6404A" w:rsidRPr="00A34CD9">
        <w:rPr>
          <w:rFonts w:cstheme="minorHAnsi"/>
          <w:lang w:val="en-GB"/>
        </w:rPr>
        <w:fldChar w:fldCharType="end"/>
      </w:r>
      <w:r w:rsidR="00462B1C" w:rsidRPr="00A34CD9">
        <w:rPr>
          <w:rFonts w:cstheme="minorHAnsi"/>
          <w:lang w:val="en-GB"/>
        </w:rPr>
        <w:t>.</w:t>
      </w:r>
      <w:r w:rsidR="009F671F" w:rsidRPr="00A34CD9">
        <w:rPr>
          <w:rFonts w:cstheme="minorHAnsi"/>
          <w:lang w:val="en-GB"/>
        </w:rPr>
        <w:t xml:space="preserve"> </w:t>
      </w:r>
      <w:r w:rsidR="00241A7D" w:rsidRPr="00A34CD9">
        <w:rPr>
          <w:rFonts w:cstheme="minorHAnsi"/>
          <w:lang w:val="en-GB"/>
        </w:rPr>
        <w:t xml:space="preserve">In addition, </w:t>
      </w:r>
      <w:r w:rsidR="000815FB" w:rsidRPr="00A34CD9">
        <w:rPr>
          <w:rFonts w:cstheme="minorHAnsi"/>
          <w:lang w:val="en-GB"/>
        </w:rPr>
        <w:t xml:space="preserve">the </w:t>
      </w:r>
      <w:r w:rsidR="00241A7D" w:rsidRPr="00A34CD9">
        <w:rPr>
          <w:rFonts w:cstheme="minorHAnsi"/>
          <w:lang w:val="en-GB"/>
        </w:rPr>
        <w:t>data collected by the fisheries observer program also allowed the calculation of susceptibility showing the importance of th</w:t>
      </w:r>
      <w:r w:rsidR="000815FB" w:rsidRPr="00A34CD9">
        <w:rPr>
          <w:rFonts w:cstheme="minorHAnsi"/>
          <w:lang w:val="en-GB"/>
        </w:rPr>
        <w:t>ese data provid</w:t>
      </w:r>
      <w:r w:rsidR="00FD3513" w:rsidRPr="00A34CD9">
        <w:rPr>
          <w:rFonts w:cstheme="minorHAnsi"/>
          <w:lang w:val="en-GB"/>
        </w:rPr>
        <w:t>ing</w:t>
      </w:r>
      <w:r w:rsidR="000815FB" w:rsidRPr="00A34CD9">
        <w:rPr>
          <w:rFonts w:cstheme="minorHAnsi"/>
          <w:lang w:val="en-GB"/>
        </w:rPr>
        <w:t xml:space="preserve"> the highest quality data on bycatch</w:t>
      </w:r>
      <w:r w:rsidR="00FD3513" w:rsidRPr="00A34CD9">
        <w:rPr>
          <w:rFonts w:cstheme="minorHAnsi"/>
          <w:lang w:val="en-GB"/>
        </w:rPr>
        <w:t xml:space="preserve"> </w:t>
      </w:r>
      <w:r w:rsidR="00FD3513" w:rsidRPr="00A34CD9">
        <w:rPr>
          <w:rFonts w:cstheme="minorHAnsi"/>
          <w:lang w:val="en-GB"/>
        </w:rPr>
        <w:fldChar w:fldCharType="begin" w:fldLock="1"/>
      </w:r>
      <w:r w:rsidR="009436EF" w:rsidRPr="00A34CD9">
        <w:rPr>
          <w:rFonts w:cstheme="minorHAnsi"/>
          <w:lang w:val="en-GB"/>
        </w:rPr>
        <w:instrText>ADDIN CSL_CITATION {"citationItems":[{"id":"ITEM-1","itemData":{"DOI":"10.1016/j.tree.2004.09.004","ISBN":"0169-5347","ISSN":"01695347","PMID":"19063736","abstract":"Hunting by humans played a major role in extirpating terrestrial megafauna on several continents and megafaunal loss continues today in both terrestrial and marine ecosystems. Recent declines of large marine vertebrates that are of little or no commercial value, such as sea turtles, seabirds and marine mammals, have focused attention on the ecological impacts of incidental take, or bycatch, in global fisheries. In spite of the recognition of the problem of bycatch, few comprehensive assessments of its effects have been conducted. Many vulnerable species live in pelagic habitats, making surveys logistically complex and expensive. Bycatch data are sparse and our understanding of the demography of the affected populations is often rudimentary. These factors, combined with the large spatial scales that pelagic vertebrates and fishing fleets cover, make accurate and timely bycatch assessments difficult. Here, we review the current research that addresses these challenging questions in the face of uncertainty, analytical limitations and mounting conservation crises.","author":[{"dropping-particle":"","family":"Lewison","given":"Rebecca L.","non-dropping-particle":"","parse-names":false,"suffix":""},{"dropping-particle":"","family":"Crowder","given":"Larry B.","non-dropping-particle":"","parse-names":false,"suffix":""},{"dropping-particle":"","family":"Read","given":"Andrew J.","non-dropping-particle":"","parse-names":false,"suffix":""},{"dropping-particle":"","family":"Freeman","given":"Sloan A.","non-dropping-particle":"","parse-names":false,"suffix":""}],"container-title":"Trends in Ecology and Evolution","id":"ITEM-1","issue":"11","issued":{"date-parts":[["2004"]]},"page":"598-604","title":"Understanding impacts of fisheries bycatch on marine megafauna","type":"article-journal","volume":"19"},"uris":["http://www.mendeley.com/documents/?uuid=4a1fcca4-325c-481b-b308-e23c4dd35b37"]}],"mendeley":{"formattedCitation":"(Lewison &lt;i&gt;et al.&lt;/i&gt;, 2004)","plainTextFormattedCitation":"(Lewison et al., 2004)","previouslyFormattedCitation":"(Lewison &lt;i&gt;et al.&lt;/i&gt;, 2004)"},"properties":{"noteIndex":0},"schema":"https://github.com/citation-style-language/schema/raw/master/csl-citation.json"}</w:instrText>
      </w:r>
      <w:r w:rsidR="00FD3513" w:rsidRPr="00A34CD9">
        <w:rPr>
          <w:rFonts w:cstheme="minorHAnsi"/>
          <w:lang w:val="en-GB"/>
        </w:rPr>
        <w:fldChar w:fldCharType="separate"/>
      </w:r>
      <w:r w:rsidR="00FD3513" w:rsidRPr="00A34CD9">
        <w:rPr>
          <w:rFonts w:cstheme="minorHAnsi"/>
          <w:noProof/>
          <w:lang w:val="en-GB"/>
        </w:rPr>
        <w:t xml:space="preserve">(Lewison </w:t>
      </w:r>
      <w:r w:rsidR="00FD3513" w:rsidRPr="00A34CD9">
        <w:rPr>
          <w:rFonts w:cstheme="minorHAnsi"/>
          <w:i/>
          <w:noProof/>
          <w:lang w:val="en-GB"/>
        </w:rPr>
        <w:t>et al.</w:t>
      </w:r>
      <w:r w:rsidR="00FD3513" w:rsidRPr="00A34CD9">
        <w:rPr>
          <w:rFonts w:cstheme="minorHAnsi"/>
          <w:noProof/>
          <w:lang w:val="en-GB"/>
        </w:rPr>
        <w:t>, 2004)</w:t>
      </w:r>
      <w:r w:rsidR="00FD3513" w:rsidRPr="00A34CD9">
        <w:rPr>
          <w:rFonts w:cstheme="minorHAnsi"/>
          <w:lang w:val="en-GB"/>
        </w:rPr>
        <w:fldChar w:fldCharType="end"/>
      </w:r>
      <w:r w:rsidR="00FD3513" w:rsidRPr="00A34CD9">
        <w:rPr>
          <w:rFonts w:cstheme="minorHAnsi"/>
          <w:lang w:val="en-GB"/>
        </w:rPr>
        <w:t xml:space="preserve">. </w:t>
      </w:r>
      <w:r w:rsidR="007476D3" w:rsidRPr="00A34CD9">
        <w:rPr>
          <w:rFonts w:cstheme="minorHAnsi"/>
          <w:lang w:val="en-GB"/>
        </w:rPr>
        <w:t xml:space="preserve">This is </w:t>
      </w:r>
      <w:r w:rsidR="00E83237" w:rsidRPr="00A34CD9">
        <w:rPr>
          <w:rFonts w:cstheme="minorHAnsi"/>
          <w:lang w:val="en-GB"/>
        </w:rPr>
        <w:t xml:space="preserve">an </w:t>
      </w:r>
      <w:r w:rsidR="007476D3" w:rsidRPr="00A34CD9">
        <w:rPr>
          <w:rFonts w:cstheme="minorHAnsi"/>
          <w:lang w:val="en-GB"/>
        </w:rPr>
        <w:t>important</w:t>
      </w:r>
      <w:r w:rsidR="00E83237" w:rsidRPr="00A34CD9">
        <w:rPr>
          <w:rFonts w:cstheme="minorHAnsi"/>
          <w:lang w:val="en-GB"/>
        </w:rPr>
        <w:t xml:space="preserve"> consideration </w:t>
      </w:r>
      <w:r w:rsidR="007476D3" w:rsidRPr="00A34CD9">
        <w:rPr>
          <w:rFonts w:cstheme="minorHAnsi"/>
          <w:lang w:val="en-GB"/>
        </w:rPr>
        <w:t xml:space="preserve">in the case of </w:t>
      </w:r>
      <w:r w:rsidR="00E83237" w:rsidRPr="00A34CD9">
        <w:rPr>
          <w:rFonts w:cstheme="minorHAnsi"/>
          <w:lang w:val="en-GB"/>
        </w:rPr>
        <w:t xml:space="preserve">widely distributed species, such as the great shearwaters, </w:t>
      </w:r>
      <w:r w:rsidR="00810E3F" w:rsidRPr="00A34CD9">
        <w:rPr>
          <w:rFonts w:cstheme="minorHAnsi"/>
          <w:lang w:val="en-GB"/>
        </w:rPr>
        <w:t>and small localized fisheries, such as the artisanal tuna fishery</w:t>
      </w:r>
      <w:r w:rsidR="00471534" w:rsidRPr="00A34CD9">
        <w:rPr>
          <w:rFonts w:cstheme="minorHAnsi"/>
          <w:lang w:val="en-GB"/>
        </w:rPr>
        <w:t>,</w:t>
      </w:r>
      <w:r w:rsidR="00810E3F" w:rsidRPr="00A34CD9">
        <w:rPr>
          <w:rFonts w:cstheme="minorHAnsi"/>
          <w:lang w:val="en-GB"/>
        </w:rPr>
        <w:t xml:space="preserve"> </w:t>
      </w:r>
      <w:r w:rsidR="005E491A" w:rsidRPr="00A34CD9">
        <w:rPr>
          <w:rFonts w:cstheme="minorHAnsi"/>
          <w:lang w:val="en-GB"/>
        </w:rPr>
        <w:t>since</w:t>
      </w:r>
      <w:r w:rsidR="006540F9" w:rsidRPr="00A34CD9">
        <w:rPr>
          <w:rFonts w:cstheme="minorHAnsi"/>
          <w:lang w:val="en-GB"/>
        </w:rPr>
        <w:t xml:space="preserve"> the fine </w:t>
      </w:r>
      <w:r w:rsidR="00292CD0" w:rsidRPr="00A34CD9">
        <w:rPr>
          <w:rFonts w:cstheme="minorHAnsi"/>
          <w:lang w:val="en-GB"/>
        </w:rPr>
        <w:t xml:space="preserve">spatial and temporal </w:t>
      </w:r>
      <w:r w:rsidR="006540F9" w:rsidRPr="00A34CD9">
        <w:rPr>
          <w:rFonts w:cstheme="minorHAnsi"/>
          <w:lang w:val="en-GB"/>
        </w:rPr>
        <w:t>resolution</w:t>
      </w:r>
      <w:r w:rsidR="007476D3" w:rsidRPr="00A34CD9">
        <w:rPr>
          <w:rFonts w:cstheme="minorHAnsi"/>
          <w:lang w:val="en-GB"/>
        </w:rPr>
        <w:t xml:space="preserve"> </w:t>
      </w:r>
      <w:r w:rsidR="00484AAB" w:rsidRPr="00A34CD9">
        <w:rPr>
          <w:rFonts w:cstheme="minorHAnsi"/>
          <w:lang w:val="en-GB"/>
        </w:rPr>
        <w:t xml:space="preserve">of the data </w:t>
      </w:r>
      <w:r w:rsidR="00FC06F1" w:rsidRPr="00A34CD9">
        <w:rPr>
          <w:rFonts w:cstheme="minorHAnsi"/>
          <w:lang w:val="en-GB"/>
        </w:rPr>
        <w:t xml:space="preserve">used in this work </w:t>
      </w:r>
      <w:r w:rsidR="005E3C6C" w:rsidRPr="00A34CD9">
        <w:rPr>
          <w:rFonts w:cstheme="minorHAnsi"/>
          <w:lang w:val="en-GB"/>
        </w:rPr>
        <w:t xml:space="preserve">enables us to calculate the susceptibility </w:t>
      </w:r>
      <w:r w:rsidR="00484AAB" w:rsidRPr="00A34CD9">
        <w:rPr>
          <w:rFonts w:cstheme="minorHAnsi"/>
          <w:lang w:val="en-GB"/>
        </w:rPr>
        <w:t xml:space="preserve">more </w:t>
      </w:r>
      <w:r w:rsidR="002C6324" w:rsidRPr="00A34CD9">
        <w:rPr>
          <w:rFonts w:cstheme="minorHAnsi"/>
          <w:lang w:val="en-GB"/>
        </w:rPr>
        <w:t>reliably</w:t>
      </w:r>
      <w:r w:rsidR="00FD1BA4" w:rsidRPr="00A34CD9">
        <w:rPr>
          <w:rFonts w:cstheme="minorHAnsi"/>
          <w:lang w:val="en-GB"/>
        </w:rPr>
        <w:t xml:space="preserve"> although with some uncertainty</w:t>
      </w:r>
      <w:r w:rsidR="005E3C6C" w:rsidRPr="00A34CD9">
        <w:rPr>
          <w:rFonts w:cstheme="minorHAnsi"/>
          <w:lang w:val="en-GB"/>
        </w:rPr>
        <w:t>.</w:t>
      </w:r>
      <w:r w:rsidR="000527B1" w:rsidRPr="00A34CD9">
        <w:rPr>
          <w:rFonts w:cstheme="minorHAnsi"/>
          <w:lang w:val="en-GB"/>
        </w:rPr>
        <w:t xml:space="preserve"> </w:t>
      </w:r>
      <w:r w:rsidR="006F7E39" w:rsidRPr="00A34CD9">
        <w:rPr>
          <w:rFonts w:cstheme="minorHAnsi"/>
          <w:lang w:val="en-GB"/>
        </w:rPr>
        <w:t>W</w:t>
      </w:r>
      <w:r w:rsidR="00484AAB" w:rsidRPr="00A34CD9">
        <w:rPr>
          <w:rFonts w:cstheme="minorHAnsi"/>
          <w:lang w:val="en-GB"/>
        </w:rPr>
        <w:t xml:space="preserve">e acknowledge that the PSA </w:t>
      </w:r>
      <w:r w:rsidR="00484AAB" w:rsidRPr="00A34CD9">
        <w:rPr>
          <w:lang w:val="en-GB"/>
        </w:rPr>
        <w:t>was</w:t>
      </w:r>
      <w:r w:rsidR="00D36F2F" w:rsidRPr="00A34CD9">
        <w:rPr>
          <w:lang w:val="en-GB"/>
        </w:rPr>
        <w:t xml:space="preserve"> limited</w:t>
      </w:r>
      <w:r w:rsidR="000A58C3" w:rsidRPr="00A34CD9">
        <w:rPr>
          <w:lang w:val="en-GB"/>
        </w:rPr>
        <w:t xml:space="preserve"> by </w:t>
      </w:r>
      <w:r w:rsidR="00FB6D86" w:rsidRPr="00A34CD9">
        <w:rPr>
          <w:lang w:val="en-GB"/>
        </w:rPr>
        <w:t xml:space="preserve">the </w:t>
      </w:r>
      <w:r w:rsidR="000A58C3" w:rsidRPr="00A34CD9">
        <w:rPr>
          <w:lang w:val="en-GB"/>
        </w:rPr>
        <w:t xml:space="preserve">lack of </w:t>
      </w:r>
      <w:r w:rsidR="00265380" w:rsidRPr="00A34CD9">
        <w:rPr>
          <w:lang w:val="en-GB"/>
        </w:rPr>
        <w:t xml:space="preserve">seabird </w:t>
      </w:r>
      <w:r w:rsidR="000A58C3" w:rsidRPr="00A34CD9">
        <w:rPr>
          <w:lang w:val="en-GB"/>
        </w:rPr>
        <w:t>data</w:t>
      </w:r>
      <w:r w:rsidR="00265380" w:rsidRPr="00A34CD9">
        <w:rPr>
          <w:lang w:val="en-GB"/>
        </w:rPr>
        <w:t xml:space="preserve"> during the </w:t>
      </w:r>
      <w:r w:rsidR="005F574F" w:rsidRPr="00A34CD9">
        <w:rPr>
          <w:lang w:val="en-GB"/>
        </w:rPr>
        <w:t>whole tuna fishing season</w:t>
      </w:r>
      <w:r w:rsidR="008C7E6B" w:rsidRPr="00A34CD9">
        <w:rPr>
          <w:lang w:val="en-GB"/>
        </w:rPr>
        <w:t>;</w:t>
      </w:r>
      <w:r w:rsidR="009359BF" w:rsidRPr="00A34CD9">
        <w:rPr>
          <w:lang w:val="en-GB"/>
        </w:rPr>
        <w:t xml:space="preserve"> h</w:t>
      </w:r>
      <w:r w:rsidR="007F1562" w:rsidRPr="00A34CD9">
        <w:rPr>
          <w:lang w:val="en-GB"/>
        </w:rPr>
        <w:t xml:space="preserve">owever, </w:t>
      </w:r>
      <w:r w:rsidR="009359BF" w:rsidRPr="00A34CD9">
        <w:rPr>
          <w:rFonts w:cstheme="minorHAnsi"/>
          <w:lang w:val="en-GB"/>
        </w:rPr>
        <w:t xml:space="preserve">this data remains the most comprehensive and </w:t>
      </w:r>
      <w:r w:rsidR="003974F4" w:rsidRPr="00A34CD9">
        <w:rPr>
          <w:rFonts w:cstheme="minorHAnsi"/>
          <w:lang w:val="en-GB"/>
        </w:rPr>
        <w:t>up-to-date information</w:t>
      </w:r>
      <w:r w:rsidR="009359BF" w:rsidRPr="00A34CD9">
        <w:rPr>
          <w:rFonts w:cstheme="minorHAnsi"/>
          <w:lang w:val="en-GB"/>
        </w:rPr>
        <w:t xml:space="preserve"> </w:t>
      </w:r>
      <w:r w:rsidR="008C7E6B" w:rsidRPr="00A34CD9">
        <w:rPr>
          <w:lang w:val="en-GB"/>
        </w:rPr>
        <w:t xml:space="preserve">of the </w:t>
      </w:r>
      <w:proofErr w:type="spellStart"/>
      <w:r w:rsidR="008C7E6B" w:rsidRPr="00A34CD9">
        <w:rPr>
          <w:lang w:val="en-GB"/>
        </w:rPr>
        <w:t>BoB</w:t>
      </w:r>
      <w:proofErr w:type="spellEnd"/>
      <w:r w:rsidR="008C7E6B" w:rsidRPr="00A34CD9">
        <w:rPr>
          <w:lang w:val="en-GB"/>
        </w:rPr>
        <w:t>,</w:t>
      </w:r>
      <w:r w:rsidR="008C7E6B" w:rsidRPr="00A34CD9">
        <w:rPr>
          <w:rFonts w:cstheme="minorHAnsi"/>
          <w:lang w:val="en-GB"/>
        </w:rPr>
        <w:t xml:space="preserve"> </w:t>
      </w:r>
      <w:r w:rsidR="00E156F3" w:rsidRPr="00A34CD9">
        <w:rPr>
          <w:rFonts w:cstheme="minorHAnsi"/>
          <w:lang w:val="en-GB"/>
        </w:rPr>
        <w:t>providing</w:t>
      </w:r>
      <w:r w:rsidR="007F1562" w:rsidRPr="00A34CD9">
        <w:rPr>
          <w:lang w:val="en-GB"/>
        </w:rPr>
        <w:t xml:space="preserve"> important </w:t>
      </w:r>
      <w:r w:rsidR="001168B3" w:rsidRPr="00A34CD9">
        <w:rPr>
          <w:lang w:val="en-GB"/>
        </w:rPr>
        <w:t>evidence</w:t>
      </w:r>
      <w:r w:rsidR="007F1562" w:rsidRPr="00A34CD9">
        <w:rPr>
          <w:lang w:val="en-GB"/>
        </w:rPr>
        <w:t xml:space="preserve"> o</w:t>
      </w:r>
      <w:r w:rsidR="00E20BCE" w:rsidRPr="00A34CD9">
        <w:rPr>
          <w:lang w:val="en-GB"/>
        </w:rPr>
        <w:t>n</w:t>
      </w:r>
      <w:r w:rsidR="007F1562" w:rsidRPr="00A34CD9">
        <w:rPr>
          <w:lang w:val="en-GB"/>
        </w:rPr>
        <w:t xml:space="preserve"> the </w:t>
      </w:r>
      <w:r w:rsidR="006F7E39" w:rsidRPr="00A34CD9">
        <w:rPr>
          <w:lang w:val="en-GB"/>
        </w:rPr>
        <w:t xml:space="preserve">bycatch potential </w:t>
      </w:r>
      <w:r w:rsidR="007F1562" w:rsidRPr="00A34CD9">
        <w:rPr>
          <w:lang w:val="en-GB"/>
        </w:rPr>
        <w:t>risk of the main PET species bycaught in the artisanal tuna fishery.</w:t>
      </w:r>
      <w:r w:rsidR="00E945CF" w:rsidRPr="00A34CD9">
        <w:rPr>
          <w:lang w:val="en-GB"/>
        </w:rPr>
        <w:t xml:space="preserve"> </w:t>
      </w:r>
      <w:r w:rsidR="005C2890" w:rsidRPr="00A34CD9">
        <w:rPr>
          <w:lang w:val="en-GB"/>
        </w:rPr>
        <w:t>Given the difficult</w:t>
      </w:r>
      <w:r w:rsidR="00E20BCE" w:rsidRPr="00A34CD9">
        <w:rPr>
          <w:lang w:val="en-GB"/>
        </w:rPr>
        <w:t>y</w:t>
      </w:r>
      <w:r w:rsidR="005C2890" w:rsidRPr="00A34CD9">
        <w:rPr>
          <w:lang w:val="en-GB"/>
        </w:rPr>
        <w:t xml:space="preserve"> to</w:t>
      </w:r>
      <w:r w:rsidR="008B7C37" w:rsidRPr="00A34CD9">
        <w:rPr>
          <w:lang w:val="en-GB"/>
        </w:rPr>
        <w:t xml:space="preserve"> perform </w:t>
      </w:r>
      <w:r w:rsidR="009B773E" w:rsidRPr="00A34CD9">
        <w:rPr>
          <w:lang w:val="en-GB"/>
        </w:rPr>
        <w:t>oceanographic surveys to collect seabird data</w:t>
      </w:r>
      <w:r w:rsidR="00EE655F" w:rsidRPr="00A34CD9">
        <w:rPr>
          <w:lang w:val="en-GB"/>
        </w:rPr>
        <w:t>,</w:t>
      </w:r>
      <w:r w:rsidR="009B773E" w:rsidRPr="00A34CD9">
        <w:rPr>
          <w:lang w:val="en-GB"/>
        </w:rPr>
        <w:t xml:space="preserve"> d</w:t>
      </w:r>
      <w:r w:rsidR="008B7C37" w:rsidRPr="00A34CD9">
        <w:rPr>
          <w:lang w:val="en-GB"/>
        </w:rPr>
        <w:t xml:space="preserve">ue to the logistics and costs involved, </w:t>
      </w:r>
      <w:r w:rsidR="009B773E" w:rsidRPr="00A34CD9">
        <w:rPr>
          <w:lang w:val="en-GB"/>
        </w:rPr>
        <w:t>o</w:t>
      </w:r>
      <w:r w:rsidR="00B623B6" w:rsidRPr="00A34CD9">
        <w:rPr>
          <w:lang w:val="en-GB"/>
        </w:rPr>
        <w:t>ne approach to overcome this limitation</w:t>
      </w:r>
      <w:r w:rsidR="005C2890" w:rsidRPr="00A34CD9">
        <w:rPr>
          <w:lang w:val="en-GB"/>
        </w:rPr>
        <w:t xml:space="preserve"> </w:t>
      </w:r>
      <w:r w:rsidR="00CB0D07" w:rsidRPr="00A34CD9">
        <w:rPr>
          <w:lang w:val="en-GB"/>
        </w:rPr>
        <w:t>might</w:t>
      </w:r>
      <w:r w:rsidR="008131F5" w:rsidRPr="00A34CD9">
        <w:rPr>
          <w:lang w:val="en-GB"/>
        </w:rPr>
        <w:t xml:space="preserve"> be</w:t>
      </w:r>
      <w:r w:rsidR="005C2890" w:rsidRPr="00A34CD9">
        <w:rPr>
          <w:lang w:val="en-GB"/>
        </w:rPr>
        <w:t xml:space="preserve"> t</w:t>
      </w:r>
      <w:r w:rsidR="009B773E" w:rsidRPr="00A34CD9">
        <w:rPr>
          <w:lang w:val="en-GB"/>
        </w:rPr>
        <w:t>he</w:t>
      </w:r>
      <w:r w:rsidR="005C2890" w:rsidRPr="00A34CD9">
        <w:rPr>
          <w:lang w:val="en-GB"/>
        </w:rPr>
        <w:t xml:space="preserve"> use </w:t>
      </w:r>
      <w:r w:rsidR="00E20BCE" w:rsidRPr="00A34CD9">
        <w:rPr>
          <w:lang w:val="en-GB"/>
        </w:rPr>
        <w:t xml:space="preserve">of </w:t>
      </w:r>
      <w:r w:rsidR="005C2890" w:rsidRPr="00A34CD9">
        <w:rPr>
          <w:lang w:val="en-GB"/>
        </w:rPr>
        <w:t xml:space="preserve">bio-logging data </w:t>
      </w:r>
      <w:r w:rsidR="00E95DD6" w:rsidRPr="00A34CD9">
        <w:rPr>
          <w:lang w:val="en-GB"/>
        </w:rPr>
        <w:t xml:space="preserve">to identify </w:t>
      </w:r>
      <w:r w:rsidR="0079785F" w:rsidRPr="00A34CD9">
        <w:rPr>
          <w:lang w:val="en-GB"/>
        </w:rPr>
        <w:t>seabird’s</w:t>
      </w:r>
      <w:r w:rsidR="00E95DD6" w:rsidRPr="00A34CD9">
        <w:rPr>
          <w:lang w:val="en-GB"/>
        </w:rPr>
        <w:t xml:space="preserve"> habitat use</w:t>
      </w:r>
      <w:r w:rsidR="008C1395" w:rsidRPr="00A34CD9">
        <w:rPr>
          <w:lang w:val="en-GB"/>
        </w:rPr>
        <w:t xml:space="preserve">. Furthermore, </w:t>
      </w:r>
      <w:r w:rsidR="00DA75AA" w:rsidRPr="00A34CD9">
        <w:rPr>
          <w:lang w:val="en-GB"/>
        </w:rPr>
        <w:t>bio-logging</w:t>
      </w:r>
      <w:r w:rsidR="008C1395" w:rsidRPr="00A34CD9">
        <w:rPr>
          <w:lang w:val="en-GB"/>
        </w:rPr>
        <w:t xml:space="preserve"> data </w:t>
      </w:r>
      <w:r w:rsidR="00EE384C" w:rsidRPr="00A34CD9">
        <w:rPr>
          <w:lang w:val="en-GB"/>
        </w:rPr>
        <w:t>makes</w:t>
      </w:r>
      <w:r w:rsidR="00DC47E0" w:rsidRPr="00A34CD9">
        <w:rPr>
          <w:lang w:val="en-GB"/>
        </w:rPr>
        <w:t xml:space="preserve"> available </w:t>
      </w:r>
      <w:r w:rsidR="004B0168" w:rsidRPr="00A34CD9">
        <w:rPr>
          <w:lang w:val="en-GB"/>
        </w:rPr>
        <w:t>f</w:t>
      </w:r>
      <w:r w:rsidR="009922FA" w:rsidRPr="00A34CD9">
        <w:rPr>
          <w:lang w:val="en-GB"/>
        </w:rPr>
        <w:t xml:space="preserve">ine </w:t>
      </w:r>
      <w:proofErr w:type="spellStart"/>
      <w:r w:rsidR="009922FA" w:rsidRPr="00A34CD9">
        <w:rPr>
          <w:lang w:val="en-GB"/>
        </w:rPr>
        <w:t>spati</w:t>
      </w:r>
      <w:r w:rsidR="00DA75AA" w:rsidRPr="00A34CD9">
        <w:rPr>
          <w:lang w:val="en-GB"/>
        </w:rPr>
        <w:t>o</w:t>
      </w:r>
      <w:proofErr w:type="spellEnd"/>
      <w:r w:rsidR="009922FA" w:rsidRPr="00A34CD9">
        <w:rPr>
          <w:lang w:val="en-GB"/>
        </w:rPr>
        <w:t xml:space="preserve">-temporal </w:t>
      </w:r>
      <w:r w:rsidR="006F71B0" w:rsidRPr="00A34CD9">
        <w:rPr>
          <w:lang w:val="en-GB"/>
        </w:rPr>
        <w:t xml:space="preserve">information </w:t>
      </w:r>
      <w:r w:rsidR="001C7FBA" w:rsidRPr="00A34CD9">
        <w:rPr>
          <w:lang w:val="en-GB"/>
        </w:rPr>
        <w:t>improving</w:t>
      </w:r>
      <w:r w:rsidR="009922FA" w:rsidRPr="00A34CD9">
        <w:rPr>
          <w:lang w:val="en-GB"/>
        </w:rPr>
        <w:t xml:space="preserve"> the understanding of marine predator-fisheries interactions</w:t>
      </w:r>
      <w:r w:rsidR="00540B3D" w:rsidRPr="00A34CD9">
        <w:rPr>
          <w:lang w:val="en-GB"/>
        </w:rPr>
        <w:t xml:space="preserve"> </w:t>
      </w:r>
      <w:r w:rsidR="00C05FA4" w:rsidRPr="00A34CD9">
        <w:rPr>
          <w:lang w:val="en-GB"/>
        </w:rPr>
        <w:fldChar w:fldCharType="begin" w:fldLock="1"/>
      </w:r>
      <w:r w:rsidR="006B5679" w:rsidRPr="00A34CD9">
        <w:rPr>
          <w:lang w:val="en-GB"/>
        </w:rPr>
        <w:instrText>ADDIN CSL_CITATION {"citationItems":[{"id":"ITEM-1","itemData":{"DOI":"10.3354/meps13549","ISSN":"01718630","abstract":"Fisheries have impacted seabird populations worldwide, either via bycatch mortality or resource depletion. Understanding the overlap between seabird distributions and fisheries is an important element for bycatch risk assessment, though the drivers of variation in seabird-fishery overlap are not well understood for some seabird populations. Here, we quantified the spatial overlap between foraging Cory's shearwaters Calonectris borealis during the breeding season and commercial fisheries operating within the Portuguese Exclusive Economic Zone. In addition, we evaluated whether overlap varied as a function of an individual's boldness, sex or breeding stage. For this, we GPS tracked 361 foraging trips by 72 Cory's shearwaters nesting at Berlenga Island, Portugal, over 5 consecutive breeding seasons (2012-2016). Simultaneously, we used fishing effort data from Global Fishing Watch detailing the distribution of industrial fisheries within the temporal and spatial range of Cory's shearwater tracks. Although fishing vessels were present during 88.1% of foraging trips, Cory's shearwaters spent only on average 13.3% of the time foraging in the same areas as fisheries. Such low spatial overlap is likely driven by high prey availability near the colony and suggests low direct competition for resources. We also found variation in overlap with fisheries across the breeding period, with Cory's shearwaters spending approximately 11% more time foraging in the same areas as fixed gear and purse seine vessels during pre-laying than during chick-rearing. Surprisingly, no sex or boldness-related differences were found in the overlap with any fishing gear. Our findings have implications for understanding within population variation in the overlap between fisheries and seabirds and, in turn, bycatch risk.","author":[{"dropping-particle":"","family":"Pereira","given":"Jorge M.","non-dropping-particle":"","parse-names":false,"suffix":""},{"dropping-particle":"","family":"Ramos","given":"Jaime A.","non-dropping-particle":"","parse-names":false,"suffix":""},{"dropping-particle":"","family":"Marques","given":"Ana M.","non-dropping-particle":"","parse-names":false,"suffix":""},{"dropping-particle":"","family":"Ceia","given":"Filipe R.","non-dropping-particle":"","parse-names":false,"suffix":""},{"dropping-particle":"","family":"Krüger","given":"Lucas","non-dropping-particle":"","parse-names":false,"suffix":""},{"dropping-particle":"","family":"Votier","given":"Stephen C.","non-dropping-particle":"","parse-names":false,"suffix":""},{"dropping-particle":"","family":"Paiva","given":"Vitor H.","non-dropping-particle":"","parse-names":false,"suffix":""}],"container-title":"Marine Ecology Progress Series","id":"ITEM-1","issue":"January","issued":{"date-parts":[["2021"]]},"page":"209-221","publisher":"Inter-Research Science Center","title":"Low spatial overlap between foraging shearwaters during the breeding season and industrial fisheries off the west coast of Portugal","type":"article-journal","volume":"657"},"uris":["http://www.mendeley.com/documents/?uuid=b9e54714-011d-453d-9441-9f12402cd22d"]},{"id":"ITEM-2","itemData":{"DOI":"10.3354/meps13439","ISSN":"0171-8630","abstract":" Pelagic seabirds are important components of many marine ecosystems. The most abundant species are medium/small sized petrels (&lt;1100 g), yet the sub-mesoscale (&lt;10 km) distribution, habitat use and foraging behaviour of this group are not well understood. Sooty shearwaters Ardenna grisea are among the world’s most numerous pelagic seabirds. The majority inhabit the Pacific, where they have declined, partly due to bycatch and other anthropogenic impacts, but they are increasing in the Atlantic. To evaluate the sub-mesoscale habitat preferences (i.e. the disproportionality between habitat use and availability), diving behaviour and bycatch risk of Atlantic breeders, we tracked sooty shearwaters from the Falkland Islands during late incubation and early chick-rearing with GPS loggers (n = 20), geolocators (n = 10) and time-depth recorders (n = 10). These birds foraged exclusively in neritic and shelf-break waters, principally over the Burdwood Bank, ~350 km from their colony. Like New Zealand breeders, they dived mostly during daylight, especially at dawn and dusk, consistent with the exploitation of vertically migrating prey. However, Falkland birds made shorter foraging trips, shallower dives, and did not forage in oceanic waters. Their overlap with fisheries was low, and they foraged at shallower depths than those targeted by trawlers, the most frequent fishing vessels encountered, indicating that bycatch risk was low during late incubation/early chick-rearing. Although our results should be treated with caution, they indicate that Atlantic and Pacific sooty shearwaters may experience markedly differing pressures at sea. Comparative study between these populations, e.g. combining biologging and demography, is therefore warranted. ","author":[{"dropping-particle":"","family":"Bonnet-Lebrun","given":"AS","non-dropping-particle":"","parse-names":false,"suffix":""},{"dropping-particle":"","family":"Catry","given":"P","non-dropping-particle":"","parse-names":false,"suffix":""},{"dropping-particle":"","family":"Clark","given":"TJ","non-dropping-particle":"","parse-names":false,"suffix":""},{"dropping-particle":"","family":"Campioni","given":"L","non-dropping-particle":"","parse-names":false,"suffix":""},{"dropping-particle":"","family":"Kuepfer","given":"A","non-dropping-particle":"","parse-names":false,"suffix":""},{"dropping-particle":"","family":"Tierny","given":"M","non-dropping-particle":"","parse-names":false,"suffix":""},{"dropping-particle":"","family":"Kilbride","given":"E","non-dropping-particle":"","parse-names":false,"suffix":""},{"dropping-particle":"","family":"Wakefield","given":"ED","non-dropping-particle":"","parse-names":false,"suffix":""}],"container-title":"Marine Ecology Progress Series","id":"ITEM-2","issued":{"date-parts":[["2020"]]},"page":"163-181","publisher":"Inter-Research Science Center","title":"Habitat preferences, foraging behaviour and bycatch risk among breeding sooty shearwaters Ardenna grisea in the Southwest Atlantic","type":"article-journal","volume":"651"},"uris":["http://www.mendeley.com/documents/?uuid=335b4b4c-d3b3-4ffa-9439-e4321f01381e"]},{"id":"ITEM-3","itemData":{"DOI":"10.1111/conl.12178","ISSN":"1755263X","abstract":"Identifying the overlap of commercial fishing grounds and seabird habitat can suggest areas of high bycatch risk and inform management and mitigation measures. We used Bayesian state space modeling to describe the movements of 10 satellite-tagged Great Shearwaters and a bivariate kernel density technique to investigate spatial overlap with commercial fishing effort to predict areas of high bycatch in the Gulf of Maine. We then used contemporaneous fishery observer data to test the validity of our predictions, highlighting an area constituting 1% of the Gulf of Maine as having the highest bycatch risk that accounted for 50% of observed takes. Fishery observer data also provided insights into characteristics of the seabird-fishery interactions. Our results indicate that a relatively small number of satellite-tagged seabirds, when combined with fishery-dependent data, can lead to identifying high-bycatch areas, particular fishing practices that might increase risk, and fishing communities that could be targeted for education/mitigation.","author":[{"dropping-particle":"","family":"Hatch","given":"Joshua M.","non-dropping-particle":"","parse-names":false,"suffix":""},{"dropping-particle":"","family":"Wiley","given":"David","non-dropping-particle":"","parse-names":false,"suffix":""},{"dropping-particle":"","family":"Murray","given":"Kimberly T.","non-dropping-particle":"","parse-names":false,"suffix":""},{"dropping-particle":"","family":"Welch","given":"Linda","non-dropping-particle":"","parse-names":false,"suffix":""}],"container-title":"Conservation Letters","id":"ITEM-3","issue":"1","issued":{"date-parts":[["2016"]]},"page":"43-50","title":"Integrating Satellite-Tagged Seabird and Fishery-Dependent Data: A Case Study of Great Shearwaters (Puffinus gravis) and the U.S. New England Sink Gillnet Fishery","type":"article-journal","volume":"9"},"uris":["http://www.mendeley.com/documents/?uuid=ae0090db-442b-4e04-94bb-dfdde69694b0"]}],"mendeley":{"formattedCitation":"(Hatch &lt;i&gt;et al.&lt;/i&gt;, 2016; Bonnet-Lebrun &lt;i&gt;et al.&lt;/i&gt;, 2020; Pereira &lt;i&gt;et al.&lt;/i&gt;, 2021)","plainTextFormattedCitation":"(Hatch et al., 2016; Bonnet-Lebrun et al., 2020; Pereira et al., 2021)","previouslyFormattedCitation":"(Hatch &lt;i&gt;et al.&lt;/i&gt;, 2016; Bonnet-Lebrun &lt;i&gt;et al.&lt;/i&gt;, 2020; Pereira &lt;i&gt;et al.&lt;/i&gt;, 2021)"},"properties":{"noteIndex":0},"schema":"https://github.com/citation-style-language/schema/raw/master/csl-citation.json"}</w:instrText>
      </w:r>
      <w:r w:rsidR="00C05FA4" w:rsidRPr="00A34CD9">
        <w:rPr>
          <w:lang w:val="en-GB"/>
        </w:rPr>
        <w:fldChar w:fldCharType="separate"/>
      </w:r>
      <w:r w:rsidR="00C05FA4" w:rsidRPr="00A34CD9">
        <w:rPr>
          <w:noProof/>
          <w:lang w:val="en-GB"/>
        </w:rPr>
        <w:t xml:space="preserve">(Hatch </w:t>
      </w:r>
      <w:r w:rsidR="00C05FA4" w:rsidRPr="00A34CD9">
        <w:rPr>
          <w:i/>
          <w:noProof/>
          <w:lang w:val="en-GB"/>
        </w:rPr>
        <w:t>et al.</w:t>
      </w:r>
      <w:r w:rsidR="00C05FA4" w:rsidRPr="00A34CD9">
        <w:rPr>
          <w:noProof/>
          <w:lang w:val="en-GB"/>
        </w:rPr>
        <w:t xml:space="preserve">, 2016; Bonnet-Lebrun </w:t>
      </w:r>
      <w:r w:rsidR="00C05FA4" w:rsidRPr="00A34CD9">
        <w:rPr>
          <w:i/>
          <w:noProof/>
          <w:lang w:val="en-GB"/>
        </w:rPr>
        <w:t>et al.</w:t>
      </w:r>
      <w:r w:rsidR="00C05FA4" w:rsidRPr="00A34CD9">
        <w:rPr>
          <w:noProof/>
          <w:lang w:val="en-GB"/>
        </w:rPr>
        <w:t xml:space="preserve">, 2020; Pereira </w:t>
      </w:r>
      <w:r w:rsidR="00C05FA4" w:rsidRPr="00A34CD9">
        <w:rPr>
          <w:i/>
          <w:noProof/>
          <w:lang w:val="en-GB"/>
        </w:rPr>
        <w:t>et al.</w:t>
      </w:r>
      <w:r w:rsidR="00C05FA4" w:rsidRPr="00A34CD9">
        <w:rPr>
          <w:noProof/>
          <w:lang w:val="en-GB"/>
        </w:rPr>
        <w:t>, 2021)</w:t>
      </w:r>
      <w:r w:rsidR="00C05FA4" w:rsidRPr="00A34CD9">
        <w:rPr>
          <w:lang w:val="en-GB"/>
        </w:rPr>
        <w:fldChar w:fldCharType="end"/>
      </w:r>
      <w:r w:rsidR="001C7FBA" w:rsidRPr="00A34CD9">
        <w:rPr>
          <w:lang w:val="en-GB"/>
        </w:rPr>
        <w:t xml:space="preserve">. In this regard, </w:t>
      </w:r>
      <w:r w:rsidR="001C7FBA" w:rsidRPr="00A34CD9">
        <w:rPr>
          <w:rFonts w:cstheme="minorHAnsi"/>
          <w:lang w:val="en-GB"/>
        </w:rPr>
        <w:t xml:space="preserve">a key future </w:t>
      </w:r>
      <w:r w:rsidR="009736D3" w:rsidRPr="00A34CD9">
        <w:rPr>
          <w:rFonts w:cstheme="minorHAnsi"/>
          <w:lang w:val="en-GB"/>
        </w:rPr>
        <w:t>investigation</w:t>
      </w:r>
      <w:r w:rsidR="001C7FBA" w:rsidRPr="00A34CD9">
        <w:rPr>
          <w:rFonts w:cstheme="minorHAnsi"/>
          <w:lang w:val="en-GB"/>
        </w:rPr>
        <w:t xml:space="preserve"> may be </w:t>
      </w:r>
      <w:r w:rsidR="0014020A" w:rsidRPr="00A34CD9">
        <w:rPr>
          <w:rFonts w:cstheme="minorHAnsi"/>
          <w:lang w:val="en-GB"/>
        </w:rPr>
        <w:t>the</w:t>
      </w:r>
      <w:r w:rsidR="001C7FBA" w:rsidRPr="00A34CD9">
        <w:rPr>
          <w:rFonts w:cstheme="minorHAnsi"/>
          <w:lang w:val="en-GB"/>
        </w:rPr>
        <w:t xml:space="preserve"> combination of real-time environmental data or seasonal forecasts and </w:t>
      </w:r>
      <w:r w:rsidR="006415BC" w:rsidRPr="00A34CD9">
        <w:rPr>
          <w:rFonts w:cstheme="minorHAnsi"/>
          <w:lang w:val="en-GB"/>
        </w:rPr>
        <w:t xml:space="preserve">seabird bio-logging data </w:t>
      </w:r>
      <w:r w:rsidR="001C7FBA" w:rsidRPr="00A34CD9">
        <w:rPr>
          <w:rFonts w:cstheme="minorHAnsi"/>
          <w:lang w:val="en-GB"/>
        </w:rPr>
        <w:t>to establish spatially dynamic bycatch reduction management measures.</w:t>
      </w:r>
    </w:p>
    <w:p w14:paraId="7EB46063" w14:textId="15F52C07" w:rsidR="007127CC" w:rsidRPr="00A34CD9" w:rsidRDefault="00376C3D" w:rsidP="002A528E">
      <w:pPr>
        <w:suppressLineNumbers/>
        <w:spacing w:line="480" w:lineRule="auto"/>
        <w:jc w:val="both"/>
        <w:rPr>
          <w:rFonts w:cstheme="minorHAnsi"/>
          <w:lang w:val="en-GB"/>
        </w:rPr>
      </w:pPr>
      <w:r w:rsidRPr="00A34CD9">
        <w:rPr>
          <w:rFonts w:cstheme="minorHAnsi"/>
          <w:lang w:val="en-GB"/>
        </w:rPr>
        <w:lastRenderedPageBreak/>
        <w:t>Lastly</w:t>
      </w:r>
      <w:r w:rsidR="00560BFE" w:rsidRPr="00A34CD9">
        <w:rPr>
          <w:rFonts w:cstheme="minorHAnsi"/>
          <w:lang w:val="en-GB"/>
        </w:rPr>
        <w:t>, w</w:t>
      </w:r>
      <w:r w:rsidR="00891831" w:rsidRPr="00A34CD9">
        <w:rPr>
          <w:rFonts w:cstheme="minorHAnsi"/>
          <w:lang w:val="en-GB"/>
        </w:rPr>
        <w:t xml:space="preserve">e assume that the </w:t>
      </w:r>
      <w:r w:rsidR="000F7450" w:rsidRPr="00A34CD9">
        <w:rPr>
          <w:rFonts w:cstheme="minorHAnsi"/>
          <w:lang w:val="en-GB"/>
        </w:rPr>
        <w:t xml:space="preserve">relative </w:t>
      </w:r>
      <w:r w:rsidR="00985539" w:rsidRPr="00A34CD9">
        <w:rPr>
          <w:rFonts w:cstheme="minorHAnsi"/>
          <w:lang w:val="en-GB"/>
        </w:rPr>
        <w:t xml:space="preserve">potential </w:t>
      </w:r>
      <w:r w:rsidR="00891831" w:rsidRPr="00A34CD9">
        <w:rPr>
          <w:rFonts w:cstheme="minorHAnsi"/>
          <w:lang w:val="en-GB"/>
        </w:rPr>
        <w:t xml:space="preserve">risk bycatch areas located with our approach </w:t>
      </w:r>
      <w:r w:rsidR="00D50462" w:rsidRPr="00A34CD9">
        <w:rPr>
          <w:rFonts w:cstheme="minorHAnsi"/>
          <w:lang w:val="en-GB"/>
        </w:rPr>
        <w:t>are</w:t>
      </w:r>
      <w:r w:rsidR="003D3951" w:rsidRPr="00A34CD9">
        <w:rPr>
          <w:rFonts w:cstheme="minorHAnsi"/>
          <w:lang w:val="en-GB"/>
        </w:rPr>
        <w:t xml:space="preserve"> a measure of </w:t>
      </w:r>
      <w:r w:rsidR="00891831" w:rsidRPr="00A34CD9">
        <w:rPr>
          <w:rFonts w:cstheme="minorHAnsi"/>
          <w:lang w:val="en-GB"/>
        </w:rPr>
        <w:t>spatial overlap, and not necessarily seabird-fishery interactions</w:t>
      </w:r>
      <w:r w:rsidR="00D30963" w:rsidRPr="00A34CD9">
        <w:rPr>
          <w:rFonts w:cstheme="minorHAnsi"/>
          <w:lang w:val="en-GB"/>
        </w:rPr>
        <w:t xml:space="preserve"> and </w:t>
      </w:r>
      <w:r w:rsidR="008865F0" w:rsidRPr="00A34CD9">
        <w:rPr>
          <w:rFonts w:cstheme="minorHAnsi"/>
          <w:lang w:val="en-GB"/>
        </w:rPr>
        <w:t xml:space="preserve">as such, the results presented here should be interpreted as a proxy for potential bycatch risk. </w:t>
      </w:r>
      <w:r w:rsidR="00862ECC" w:rsidRPr="00A34CD9">
        <w:rPr>
          <w:rFonts w:cstheme="minorHAnsi"/>
          <w:lang w:val="en-GB"/>
        </w:rPr>
        <w:t>Even though</w:t>
      </w:r>
      <w:r w:rsidR="007127CC" w:rsidRPr="00A34CD9">
        <w:rPr>
          <w:rFonts w:cstheme="minorHAnsi"/>
          <w:lang w:val="en-GB"/>
        </w:rPr>
        <w:t xml:space="preserve"> </w:t>
      </w:r>
      <w:r w:rsidR="001B2B1D" w:rsidRPr="00A34CD9">
        <w:rPr>
          <w:rFonts w:cstheme="minorHAnsi"/>
          <w:lang w:val="en-GB"/>
        </w:rPr>
        <w:t xml:space="preserve">our results demonstrated that the artisanal tuna fishery fishing fleet operating at the </w:t>
      </w:r>
      <w:proofErr w:type="spellStart"/>
      <w:r w:rsidR="001B2B1D" w:rsidRPr="00A34CD9">
        <w:rPr>
          <w:rFonts w:cstheme="minorHAnsi"/>
          <w:lang w:val="en-GB"/>
        </w:rPr>
        <w:t>BoB</w:t>
      </w:r>
      <w:proofErr w:type="spellEnd"/>
      <w:r w:rsidR="001B2B1D" w:rsidRPr="00A34CD9">
        <w:rPr>
          <w:rFonts w:cstheme="minorHAnsi"/>
          <w:lang w:val="en-GB"/>
        </w:rPr>
        <w:t xml:space="preserve"> </w:t>
      </w:r>
      <w:r w:rsidR="00FD379F" w:rsidRPr="00A34CD9">
        <w:rPr>
          <w:rFonts w:cstheme="minorHAnsi"/>
          <w:lang w:val="en-GB"/>
        </w:rPr>
        <w:t>posed a low to moderate risk</w:t>
      </w:r>
      <w:r w:rsidR="008A2EB1" w:rsidRPr="00A34CD9">
        <w:rPr>
          <w:rFonts w:cstheme="minorHAnsi"/>
          <w:lang w:val="en-GB"/>
        </w:rPr>
        <w:t xml:space="preserve"> to great shearwaters</w:t>
      </w:r>
      <w:r w:rsidR="00AF16C4" w:rsidRPr="00A34CD9">
        <w:rPr>
          <w:rFonts w:cstheme="minorHAnsi"/>
          <w:lang w:val="en-GB"/>
        </w:rPr>
        <w:t xml:space="preserve"> the fishery should </w:t>
      </w:r>
      <w:r w:rsidR="00A571DC" w:rsidRPr="00A34CD9">
        <w:rPr>
          <w:rFonts w:cstheme="minorHAnsi"/>
          <w:lang w:val="en-GB"/>
        </w:rPr>
        <w:t xml:space="preserve">continue to </w:t>
      </w:r>
      <w:r w:rsidR="00AF16C4" w:rsidRPr="00A34CD9">
        <w:rPr>
          <w:rFonts w:cstheme="minorHAnsi"/>
          <w:lang w:val="en-GB"/>
        </w:rPr>
        <w:t xml:space="preserve">be routinely monitored, with </w:t>
      </w:r>
      <w:r w:rsidR="00A571DC" w:rsidRPr="00A34CD9">
        <w:rPr>
          <w:rFonts w:cstheme="minorHAnsi"/>
          <w:lang w:val="en-GB"/>
        </w:rPr>
        <w:t>higher risk</w:t>
      </w:r>
      <w:r w:rsidR="00AF16C4" w:rsidRPr="00A34CD9">
        <w:rPr>
          <w:rFonts w:cstheme="minorHAnsi"/>
          <w:lang w:val="en-GB"/>
        </w:rPr>
        <w:t xml:space="preserve"> areas revised regularly based upon changes in </w:t>
      </w:r>
      <w:r w:rsidR="00A571DC" w:rsidRPr="00A34CD9">
        <w:rPr>
          <w:rFonts w:cstheme="minorHAnsi"/>
          <w:lang w:val="en-GB"/>
        </w:rPr>
        <w:t>species</w:t>
      </w:r>
      <w:r w:rsidR="009C38D4" w:rsidRPr="00A34CD9">
        <w:rPr>
          <w:rFonts w:cstheme="minorHAnsi"/>
          <w:lang w:val="en-GB"/>
        </w:rPr>
        <w:t xml:space="preserve"> and fisheries effort</w:t>
      </w:r>
      <w:r w:rsidR="00AF16C4" w:rsidRPr="00A34CD9">
        <w:rPr>
          <w:rFonts w:cstheme="minorHAnsi"/>
          <w:lang w:val="en-GB"/>
        </w:rPr>
        <w:t xml:space="preserve"> distribution. This is particularly important </w:t>
      </w:r>
      <w:r w:rsidR="001026B7" w:rsidRPr="00A34CD9">
        <w:rPr>
          <w:rFonts w:cstheme="minorHAnsi"/>
          <w:lang w:val="en-GB"/>
        </w:rPr>
        <w:t xml:space="preserve">for the continuation of the </w:t>
      </w:r>
      <w:r w:rsidR="00713C75" w:rsidRPr="00A34CD9">
        <w:rPr>
          <w:rFonts w:cstheme="minorHAnsi"/>
          <w:lang w:val="en-GB"/>
        </w:rPr>
        <w:t xml:space="preserve">certification achieved </w:t>
      </w:r>
      <w:r w:rsidR="001026B7" w:rsidRPr="00A34CD9">
        <w:rPr>
          <w:rFonts w:cstheme="minorHAnsi"/>
          <w:lang w:val="en-GB"/>
        </w:rPr>
        <w:t xml:space="preserve">by </w:t>
      </w:r>
      <w:r w:rsidR="00713C75" w:rsidRPr="00A34CD9">
        <w:rPr>
          <w:rFonts w:cstheme="minorHAnsi"/>
          <w:lang w:val="en-GB"/>
        </w:rPr>
        <w:t>troll</w:t>
      </w:r>
      <w:r w:rsidR="001026B7" w:rsidRPr="00A34CD9">
        <w:rPr>
          <w:rFonts w:cstheme="minorHAnsi"/>
          <w:lang w:val="en-GB"/>
        </w:rPr>
        <w:t xml:space="preserve">ers and </w:t>
      </w:r>
      <w:proofErr w:type="spellStart"/>
      <w:r w:rsidR="001026B7" w:rsidRPr="00A34CD9">
        <w:rPr>
          <w:rFonts w:cstheme="minorHAnsi"/>
          <w:lang w:val="en-GB"/>
        </w:rPr>
        <w:t>baitboats</w:t>
      </w:r>
      <w:proofErr w:type="spellEnd"/>
      <w:r w:rsidR="00713C75" w:rsidRPr="00A34CD9">
        <w:rPr>
          <w:rFonts w:cstheme="minorHAnsi"/>
          <w:lang w:val="en-GB"/>
        </w:rPr>
        <w:t xml:space="preserve"> </w:t>
      </w:r>
      <w:r w:rsidR="00315F2B" w:rsidRPr="00A34CD9">
        <w:rPr>
          <w:rFonts w:cstheme="minorHAnsi"/>
          <w:lang w:val="en-GB"/>
        </w:rPr>
        <w:t xml:space="preserve">of the </w:t>
      </w:r>
      <w:r w:rsidR="00F52DD6" w:rsidRPr="00A34CD9">
        <w:rPr>
          <w:rFonts w:cstheme="minorHAnsi"/>
          <w:lang w:val="en-GB"/>
        </w:rPr>
        <w:t>North Atlantic tuna artisanal fish</w:t>
      </w:r>
      <w:r w:rsidR="00315F2B" w:rsidRPr="00A34CD9">
        <w:rPr>
          <w:rFonts w:cstheme="minorHAnsi"/>
          <w:lang w:val="en-GB"/>
        </w:rPr>
        <w:t xml:space="preserve">ing fleet </w:t>
      </w:r>
      <w:r w:rsidR="00315F2B" w:rsidRPr="00A34CD9">
        <w:rPr>
          <w:rFonts w:cstheme="minorHAnsi"/>
          <w:lang w:val="en-GB"/>
        </w:rPr>
        <w:fldChar w:fldCharType="begin" w:fldLock="1"/>
      </w:r>
      <w:r w:rsidR="005D203D" w:rsidRPr="00A34CD9">
        <w:rPr>
          <w:rFonts w:cstheme="minorHAnsi"/>
          <w:lang w:val="en-GB"/>
        </w:rPr>
        <w:instrText>ADDIN CSL_CITATION {"citationItems":[{"id":"ITEM-1","itemData":{"author":[{"dropping-particle":"","family":"MSC","given":"","non-dropping-particle":"","parse-names":false,"suffix":""}],"id":"ITEM-1","issued":{"date-parts":[["2021"]]},"title":"North Atlantic Albacore Artisanal Fishery Public Certification Report.","type":"report"},"uris":["http://www.mendeley.com/documents/?uuid=3dd59f7b-7f16-4647-b566-61f93f6b4073"]}],"mendeley":{"formattedCitation":"(MSC, 2021)","plainTextFormattedCitation":"(MSC, 2021)","previouslyFormattedCitation":"(MSC, 2021)"},"properties":{"noteIndex":0},"schema":"https://github.com/citation-style-language/schema/raw/master/csl-citation.json"}</w:instrText>
      </w:r>
      <w:r w:rsidR="00315F2B" w:rsidRPr="00A34CD9">
        <w:rPr>
          <w:rFonts w:cstheme="minorHAnsi"/>
          <w:lang w:val="en-GB"/>
        </w:rPr>
        <w:fldChar w:fldCharType="separate"/>
      </w:r>
      <w:r w:rsidR="00315F2B" w:rsidRPr="00A34CD9">
        <w:rPr>
          <w:rFonts w:cstheme="minorHAnsi"/>
          <w:noProof/>
          <w:lang w:val="en-GB"/>
        </w:rPr>
        <w:t>(MSC, 2021)</w:t>
      </w:r>
      <w:r w:rsidR="00315F2B" w:rsidRPr="00A34CD9">
        <w:rPr>
          <w:rFonts w:cstheme="minorHAnsi"/>
          <w:lang w:val="en-GB"/>
        </w:rPr>
        <w:fldChar w:fldCharType="end"/>
      </w:r>
      <w:r w:rsidR="00315F2B" w:rsidRPr="00A34CD9">
        <w:rPr>
          <w:rFonts w:cstheme="minorHAnsi"/>
          <w:lang w:val="en-GB"/>
        </w:rPr>
        <w:t>.</w:t>
      </w:r>
      <w:r w:rsidR="00F52DD6" w:rsidRPr="00A34CD9">
        <w:rPr>
          <w:rFonts w:cstheme="minorHAnsi"/>
          <w:lang w:val="en-GB"/>
        </w:rPr>
        <w:t xml:space="preserve"> </w:t>
      </w:r>
    </w:p>
    <w:p w14:paraId="012694C9" w14:textId="42E35551" w:rsidR="007B7709" w:rsidRPr="00A34CD9" w:rsidRDefault="00302A9E" w:rsidP="002A528E">
      <w:pPr>
        <w:pStyle w:val="Ttulo1"/>
        <w:suppressLineNumbers/>
        <w:spacing w:after="0"/>
        <w:rPr>
          <w:rFonts w:asciiTheme="minorHAnsi" w:hAnsiTheme="minorHAnsi" w:cstheme="minorHAnsi"/>
          <w:lang w:val="en-GB"/>
        </w:rPr>
      </w:pPr>
      <w:r w:rsidRPr="00A34CD9">
        <w:rPr>
          <w:rFonts w:asciiTheme="minorHAnsi" w:hAnsiTheme="minorHAnsi" w:cstheme="minorHAnsi"/>
          <w:lang w:val="en-GB"/>
        </w:rPr>
        <w:t>Acknowledgments</w:t>
      </w:r>
    </w:p>
    <w:p w14:paraId="402693CC" w14:textId="5900C8DE" w:rsidR="007B7709" w:rsidRPr="00A34CD9" w:rsidRDefault="00905DA0" w:rsidP="002A528E">
      <w:pPr>
        <w:suppressLineNumbers/>
        <w:spacing w:line="480" w:lineRule="auto"/>
        <w:jc w:val="both"/>
        <w:rPr>
          <w:rFonts w:cstheme="minorHAnsi"/>
          <w:lang w:val="en-GB"/>
        </w:rPr>
      </w:pPr>
      <w:r w:rsidRPr="00A34CD9">
        <w:rPr>
          <w:rFonts w:cstheme="minorHAnsi"/>
          <w:lang w:val="en-GB"/>
        </w:rPr>
        <w:t>We are grateful to</w:t>
      </w:r>
      <w:r w:rsidR="00A05B4A" w:rsidRPr="00A34CD9">
        <w:rPr>
          <w:rFonts w:cstheme="minorHAnsi"/>
          <w:lang w:val="en-GB"/>
        </w:rPr>
        <w:t xml:space="preserve"> the crew and all the AZTI and </w:t>
      </w:r>
      <w:r w:rsidR="008B0EF2" w:rsidRPr="00A34CD9">
        <w:rPr>
          <w:rFonts w:cstheme="minorHAnsi"/>
          <w:lang w:val="en-GB"/>
        </w:rPr>
        <w:t>IEO</w:t>
      </w:r>
      <w:r w:rsidR="00A05B4A" w:rsidRPr="00A34CD9">
        <w:rPr>
          <w:rFonts w:cstheme="minorHAnsi"/>
          <w:lang w:val="en-GB"/>
        </w:rPr>
        <w:t xml:space="preserve"> staff on board R/V Emma </w:t>
      </w:r>
      <w:proofErr w:type="spellStart"/>
      <w:r w:rsidR="00A05B4A" w:rsidRPr="00A34CD9">
        <w:rPr>
          <w:rFonts w:cstheme="minorHAnsi"/>
          <w:lang w:val="en-GB"/>
        </w:rPr>
        <w:t>Bardán</w:t>
      </w:r>
      <w:proofErr w:type="spellEnd"/>
      <w:r w:rsidR="00A05B4A" w:rsidRPr="00A34CD9">
        <w:rPr>
          <w:rFonts w:cstheme="minorHAnsi"/>
          <w:lang w:val="en-GB"/>
        </w:rPr>
        <w:t xml:space="preserve"> and R/V Ramón </w:t>
      </w:r>
      <w:proofErr w:type="spellStart"/>
      <w:r w:rsidR="00A05B4A" w:rsidRPr="00A34CD9">
        <w:rPr>
          <w:rFonts w:cstheme="minorHAnsi"/>
          <w:lang w:val="en-GB"/>
        </w:rPr>
        <w:t>Margalef</w:t>
      </w:r>
      <w:proofErr w:type="spellEnd"/>
      <w:r w:rsidR="00A05B4A" w:rsidRPr="00A34CD9">
        <w:rPr>
          <w:rFonts w:cstheme="minorHAnsi"/>
          <w:lang w:val="en-GB"/>
        </w:rPr>
        <w:t xml:space="preserve"> during the JUVENA surveys. </w:t>
      </w:r>
      <w:r w:rsidR="004F1859" w:rsidRPr="00A34CD9">
        <w:rPr>
          <w:rFonts w:cstheme="minorHAnsi"/>
          <w:lang w:val="en-GB"/>
        </w:rPr>
        <w:t xml:space="preserve">We also thank the </w:t>
      </w:r>
      <w:r w:rsidR="004756BB" w:rsidRPr="00A34CD9">
        <w:rPr>
          <w:rFonts w:cstheme="minorHAnsi"/>
          <w:lang w:val="en-GB"/>
        </w:rPr>
        <w:t xml:space="preserve">Spanish Secretary-General for Fisheries </w:t>
      </w:r>
      <w:r w:rsidR="004F1859" w:rsidRPr="00A34CD9">
        <w:rPr>
          <w:rFonts w:cstheme="minorHAnsi"/>
          <w:lang w:val="en-GB"/>
        </w:rPr>
        <w:t xml:space="preserve">for the provision of the VMS and </w:t>
      </w:r>
      <w:r w:rsidR="007637EF" w:rsidRPr="00A34CD9">
        <w:rPr>
          <w:rFonts w:cstheme="minorHAnsi"/>
          <w:lang w:val="en-GB"/>
        </w:rPr>
        <w:t>l</w:t>
      </w:r>
      <w:r w:rsidR="004F1859" w:rsidRPr="00A34CD9">
        <w:rPr>
          <w:rFonts w:cstheme="minorHAnsi"/>
          <w:lang w:val="en-GB"/>
        </w:rPr>
        <w:t xml:space="preserve">ogbook data. </w:t>
      </w:r>
      <w:r w:rsidR="00AE3A8F" w:rsidRPr="00A34CD9">
        <w:rPr>
          <w:rFonts w:cstheme="minorHAnsi"/>
          <w:lang w:val="en-GB"/>
        </w:rPr>
        <w:t>This is contribution</w:t>
      </w:r>
      <w:r w:rsidR="00BC4851" w:rsidRPr="00A34CD9">
        <w:rPr>
          <w:rFonts w:cstheme="minorHAnsi"/>
          <w:lang w:val="en-GB"/>
        </w:rPr>
        <w:t xml:space="preserve"> </w:t>
      </w:r>
      <w:r w:rsidR="004B7D7D" w:rsidRPr="00A34CD9">
        <w:rPr>
          <w:rFonts w:cstheme="minorHAnsi"/>
          <w:lang w:val="en-GB"/>
        </w:rPr>
        <w:t>1107</w:t>
      </w:r>
      <w:r w:rsidR="00BC4851" w:rsidRPr="00A34CD9">
        <w:rPr>
          <w:rFonts w:cstheme="minorHAnsi"/>
          <w:lang w:val="en-GB"/>
        </w:rPr>
        <w:t xml:space="preserve"> </w:t>
      </w:r>
      <w:r w:rsidR="00C712C0" w:rsidRPr="00C712C0">
        <w:rPr>
          <w:rFonts w:cstheme="minorHAnsi"/>
          <w:lang w:val="en-GB"/>
        </w:rPr>
        <w:t>from AZTI, Marine Research, Basque Research and Technology Alliance (BRTA)</w:t>
      </w:r>
      <w:r w:rsidR="00BC4851" w:rsidRPr="00A34CD9">
        <w:rPr>
          <w:rFonts w:cstheme="minorHAnsi"/>
          <w:lang w:val="en-GB"/>
        </w:rPr>
        <w:t>.</w:t>
      </w:r>
    </w:p>
    <w:p w14:paraId="304254E3" w14:textId="77777777" w:rsidR="00914DAA" w:rsidRPr="00A34CD9" w:rsidRDefault="00914DAA" w:rsidP="002A528E">
      <w:pPr>
        <w:pStyle w:val="Ttulo1"/>
        <w:suppressLineNumbers/>
        <w:spacing w:after="0"/>
        <w:rPr>
          <w:rFonts w:asciiTheme="minorHAnsi" w:hAnsiTheme="minorHAnsi" w:cstheme="minorHAnsi"/>
          <w:lang w:val="en-GB"/>
        </w:rPr>
      </w:pPr>
      <w:r w:rsidRPr="00A34CD9">
        <w:rPr>
          <w:rFonts w:asciiTheme="minorHAnsi" w:hAnsiTheme="minorHAnsi" w:cstheme="minorHAnsi"/>
          <w:lang w:val="en-GB"/>
        </w:rPr>
        <w:t>Author contributions</w:t>
      </w:r>
    </w:p>
    <w:p w14:paraId="6C7EF2FE" w14:textId="0E26DD32" w:rsidR="00914DAA" w:rsidRPr="00A34CD9" w:rsidRDefault="00914DAA" w:rsidP="002A528E">
      <w:pPr>
        <w:suppressLineNumbers/>
        <w:spacing w:line="480" w:lineRule="auto"/>
        <w:jc w:val="both"/>
        <w:rPr>
          <w:rFonts w:cstheme="minorHAnsi"/>
          <w:lang w:val="en-GB"/>
        </w:rPr>
      </w:pPr>
      <w:r w:rsidRPr="00A34CD9">
        <w:rPr>
          <w:rFonts w:cstheme="minorHAnsi"/>
          <w:lang w:val="en-GB"/>
        </w:rPr>
        <w:t xml:space="preserve">IG-B was responsible for conceptualization, methodology, writing, editing and data visualization. ML was responsible for conceptualization. IG </w:t>
      </w:r>
      <w:r w:rsidR="00A34CD9" w:rsidRPr="00A34CD9">
        <w:rPr>
          <w:rFonts w:cstheme="minorHAnsi"/>
          <w:lang w:val="en-GB"/>
        </w:rPr>
        <w:t>analysed</w:t>
      </w:r>
      <w:r w:rsidRPr="00A34CD9">
        <w:rPr>
          <w:rFonts w:cstheme="minorHAnsi"/>
          <w:lang w:val="en-GB"/>
        </w:rPr>
        <w:t xml:space="preserve"> the fisheries VMS</w:t>
      </w:r>
      <w:r w:rsidR="00DA6A69" w:rsidRPr="00A34CD9">
        <w:rPr>
          <w:rFonts w:cstheme="minorHAnsi"/>
          <w:lang w:val="en-GB"/>
        </w:rPr>
        <w:t xml:space="preserve"> and logbook</w:t>
      </w:r>
      <w:r w:rsidRPr="00A34CD9">
        <w:rPr>
          <w:rFonts w:cstheme="minorHAnsi"/>
          <w:lang w:val="en-GB"/>
        </w:rPr>
        <w:t xml:space="preserve"> data.</w:t>
      </w:r>
      <w:r w:rsidR="003A79CC" w:rsidRPr="00A34CD9">
        <w:rPr>
          <w:rFonts w:cstheme="minorHAnsi"/>
          <w:lang w:val="en-GB"/>
        </w:rPr>
        <w:t xml:space="preserve"> </w:t>
      </w:r>
      <w:r w:rsidR="00AE23CD" w:rsidRPr="00AE23CD">
        <w:rPr>
          <w:rFonts w:cstheme="minorHAnsi"/>
          <w:lang w:val="en-GB"/>
        </w:rPr>
        <w:t>AA assisted in the analysis of the species data.</w:t>
      </w:r>
      <w:r w:rsidR="00AE23CD">
        <w:rPr>
          <w:rFonts w:cstheme="minorHAnsi"/>
          <w:lang w:val="en-GB"/>
        </w:rPr>
        <w:t xml:space="preserve"> </w:t>
      </w:r>
      <w:r w:rsidR="003A79CC" w:rsidRPr="00A34CD9">
        <w:rPr>
          <w:rFonts w:cstheme="minorHAnsi"/>
          <w:lang w:val="en-GB"/>
        </w:rPr>
        <w:t xml:space="preserve">LZ and EM assist in the analysis of the fisheries VMS and logbook data. </w:t>
      </w:r>
      <w:r w:rsidRPr="00A34CD9">
        <w:rPr>
          <w:rFonts w:cstheme="minorHAnsi"/>
          <w:lang w:val="en-GB"/>
        </w:rPr>
        <w:t xml:space="preserve">GB provided the fisheries acoustics data. AR provided the </w:t>
      </w:r>
      <w:r w:rsidR="00D14AC1" w:rsidRPr="00A34CD9">
        <w:rPr>
          <w:rFonts w:cstheme="minorHAnsi"/>
          <w:lang w:val="en-GB"/>
        </w:rPr>
        <w:t>physical-oceanographic</w:t>
      </w:r>
      <w:r w:rsidRPr="00A34CD9">
        <w:rPr>
          <w:rFonts w:cstheme="minorHAnsi"/>
          <w:lang w:val="en-GB"/>
        </w:rPr>
        <w:t xml:space="preserve"> data. </w:t>
      </w:r>
      <w:r w:rsidR="00D14AC1" w:rsidRPr="00A34CD9">
        <w:rPr>
          <w:rFonts w:cstheme="minorHAnsi"/>
          <w:lang w:val="en-GB"/>
        </w:rPr>
        <w:t xml:space="preserve">IO provided the </w:t>
      </w:r>
      <w:r w:rsidR="003A79CC" w:rsidRPr="00A34CD9">
        <w:rPr>
          <w:rFonts w:cstheme="minorHAnsi"/>
          <w:lang w:val="en-GB"/>
        </w:rPr>
        <w:t xml:space="preserve">fisheries </w:t>
      </w:r>
      <w:r w:rsidR="00D14AC1" w:rsidRPr="00A34CD9">
        <w:rPr>
          <w:rFonts w:cstheme="minorHAnsi"/>
          <w:lang w:val="en-GB"/>
        </w:rPr>
        <w:t xml:space="preserve">bycatch data. </w:t>
      </w:r>
      <w:r w:rsidRPr="00A34CD9">
        <w:rPr>
          <w:rFonts w:cstheme="minorHAnsi"/>
          <w:lang w:val="en-GB"/>
        </w:rPr>
        <w:t>All authors contributed to the article and approved the submitted version.</w:t>
      </w:r>
    </w:p>
    <w:p w14:paraId="66534F00" w14:textId="77777777" w:rsidR="00914DAA" w:rsidRPr="00A34CD9" w:rsidRDefault="00914DAA" w:rsidP="002A528E">
      <w:pPr>
        <w:pStyle w:val="Ttulo1"/>
        <w:suppressLineNumbers/>
        <w:spacing w:after="0"/>
        <w:rPr>
          <w:rFonts w:asciiTheme="minorHAnsi" w:hAnsiTheme="minorHAnsi" w:cstheme="minorHAnsi"/>
          <w:lang w:val="en-GB"/>
        </w:rPr>
      </w:pPr>
      <w:r w:rsidRPr="00A34CD9">
        <w:rPr>
          <w:rFonts w:asciiTheme="minorHAnsi" w:hAnsiTheme="minorHAnsi" w:cstheme="minorHAnsi"/>
          <w:lang w:val="en-GB"/>
        </w:rPr>
        <w:t>Conflict of Interest Statement</w:t>
      </w:r>
    </w:p>
    <w:p w14:paraId="658D47CB" w14:textId="7DE571FF" w:rsidR="00914DAA" w:rsidRPr="00A34CD9" w:rsidRDefault="00914DAA" w:rsidP="002A528E">
      <w:pPr>
        <w:suppressLineNumbers/>
        <w:spacing w:line="480" w:lineRule="auto"/>
        <w:jc w:val="both"/>
        <w:rPr>
          <w:rFonts w:cstheme="minorHAnsi"/>
          <w:lang w:val="en-GB"/>
        </w:rPr>
      </w:pPr>
      <w:r w:rsidRPr="00A34CD9">
        <w:rPr>
          <w:rFonts w:cstheme="minorHAnsi"/>
          <w:lang w:val="en-GB"/>
        </w:rPr>
        <w:t>The authors have no conflicts of interest to declare.</w:t>
      </w:r>
    </w:p>
    <w:p w14:paraId="051FFE51" w14:textId="1B54340A" w:rsidR="00653267" w:rsidRPr="00A34CD9" w:rsidRDefault="00653267" w:rsidP="002A528E">
      <w:pPr>
        <w:pStyle w:val="Ttulo1"/>
        <w:suppressLineNumbers/>
        <w:spacing w:after="0"/>
        <w:rPr>
          <w:rFonts w:asciiTheme="minorHAnsi" w:hAnsiTheme="minorHAnsi" w:cstheme="minorHAnsi"/>
          <w:lang w:val="en-GB"/>
        </w:rPr>
      </w:pPr>
      <w:r w:rsidRPr="00A34CD9">
        <w:rPr>
          <w:rFonts w:asciiTheme="minorHAnsi" w:hAnsiTheme="minorHAnsi" w:cstheme="minorHAnsi"/>
          <w:lang w:val="en-GB"/>
        </w:rPr>
        <w:lastRenderedPageBreak/>
        <w:t>Funding</w:t>
      </w:r>
    </w:p>
    <w:p w14:paraId="085D1EFB" w14:textId="3A03DD41" w:rsidR="00653267" w:rsidRPr="00A34CD9" w:rsidRDefault="00653267" w:rsidP="002A528E">
      <w:pPr>
        <w:suppressLineNumbers/>
        <w:spacing w:line="480" w:lineRule="auto"/>
        <w:jc w:val="both"/>
        <w:rPr>
          <w:rFonts w:cstheme="minorHAnsi"/>
          <w:lang w:val="en-GB"/>
        </w:rPr>
      </w:pPr>
      <w:r w:rsidRPr="00A34CD9">
        <w:rPr>
          <w:rFonts w:cstheme="minorHAnsi"/>
          <w:lang w:val="en-GB"/>
        </w:rPr>
        <w:t>This research has been founded by OVERLAP (“</w:t>
      </w:r>
      <w:proofErr w:type="spellStart"/>
      <w:r w:rsidRPr="00A34CD9">
        <w:rPr>
          <w:rFonts w:cstheme="minorHAnsi"/>
          <w:lang w:val="en-GB"/>
        </w:rPr>
        <w:t>Dirección</w:t>
      </w:r>
      <w:proofErr w:type="spellEnd"/>
      <w:r w:rsidRPr="00A34CD9">
        <w:rPr>
          <w:rFonts w:cstheme="minorHAnsi"/>
          <w:lang w:val="en-GB"/>
        </w:rPr>
        <w:t xml:space="preserve"> de </w:t>
      </w:r>
      <w:proofErr w:type="spellStart"/>
      <w:r w:rsidRPr="00A34CD9">
        <w:rPr>
          <w:rFonts w:cstheme="minorHAnsi"/>
          <w:lang w:val="en-GB"/>
        </w:rPr>
        <w:t>Pesca</w:t>
      </w:r>
      <w:proofErr w:type="spellEnd"/>
      <w:r w:rsidRPr="00A34CD9">
        <w:rPr>
          <w:rFonts w:cstheme="minorHAnsi"/>
          <w:lang w:val="en-GB"/>
        </w:rPr>
        <w:t xml:space="preserve"> y </w:t>
      </w:r>
      <w:proofErr w:type="spellStart"/>
      <w:r w:rsidRPr="00A34CD9">
        <w:rPr>
          <w:rFonts w:cstheme="minorHAnsi"/>
          <w:lang w:val="en-GB"/>
        </w:rPr>
        <w:t>Acuicultura</w:t>
      </w:r>
      <w:proofErr w:type="spellEnd"/>
      <w:r w:rsidRPr="00A34CD9">
        <w:rPr>
          <w:rFonts w:cstheme="minorHAnsi"/>
          <w:lang w:val="en-GB"/>
        </w:rPr>
        <w:t xml:space="preserve"> - </w:t>
      </w:r>
      <w:proofErr w:type="spellStart"/>
      <w:r w:rsidRPr="00A34CD9">
        <w:rPr>
          <w:rFonts w:cstheme="minorHAnsi"/>
          <w:lang w:val="en-GB"/>
        </w:rPr>
        <w:t>Departamento</w:t>
      </w:r>
      <w:proofErr w:type="spellEnd"/>
      <w:r w:rsidRPr="00A34CD9">
        <w:rPr>
          <w:rFonts w:cstheme="minorHAnsi"/>
          <w:lang w:val="en-GB"/>
        </w:rPr>
        <w:t xml:space="preserve"> de Desarrollo </w:t>
      </w:r>
      <w:proofErr w:type="spellStart"/>
      <w:r w:rsidRPr="00A34CD9">
        <w:rPr>
          <w:rFonts w:cstheme="minorHAnsi"/>
          <w:lang w:val="en-GB"/>
        </w:rPr>
        <w:t>Económico</w:t>
      </w:r>
      <w:proofErr w:type="spellEnd"/>
      <w:r w:rsidRPr="00A34CD9">
        <w:rPr>
          <w:rFonts w:cstheme="minorHAnsi"/>
          <w:lang w:val="en-GB"/>
        </w:rPr>
        <w:t xml:space="preserve"> e </w:t>
      </w:r>
      <w:proofErr w:type="spellStart"/>
      <w:r w:rsidRPr="00A34CD9">
        <w:rPr>
          <w:rFonts w:cstheme="minorHAnsi"/>
          <w:lang w:val="en-GB"/>
        </w:rPr>
        <w:t>Infraestructuras</w:t>
      </w:r>
      <w:proofErr w:type="spellEnd"/>
      <w:r w:rsidRPr="00A34CD9">
        <w:rPr>
          <w:rFonts w:cstheme="minorHAnsi"/>
          <w:lang w:val="en-GB"/>
        </w:rPr>
        <w:t>” of the Basque Government</w:t>
      </w:r>
      <w:r w:rsidR="008B0EF2" w:rsidRPr="00A34CD9">
        <w:rPr>
          <w:rFonts w:cstheme="minorHAnsi"/>
          <w:lang w:val="en-GB"/>
        </w:rPr>
        <w:t xml:space="preserve"> - </w:t>
      </w:r>
      <w:r w:rsidRPr="00A34CD9">
        <w:rPr>
          <w:rFonts w:cstheme="minorHAnsi"/>
          <w:lang w:val="en-GB"/>
        </w:rPr>
        <w:t xml:space="preserve">project number 00008-IRB2019-33) and </w:t>
      </w:r>
      <w:proofErr w:type="spellStart"/>
      <w:r w:rsidRPr="00A34CD9">
        <w:rPr>
          <w:rFonts w:cstheme="minorHAnsi"/>
          <w:lang w:val="en-GB"/>
        </w:rPr>
        <w:t>FutureMARES</w:t>
      </w:r>
      <w:proofErr w:type="spellEnd"/>
      <w:r w:rsidRPr="00A34CD9">
        <w:rPr>
          <w:rFonts w:cstheme="minorHAnsi"/>
          <w:lang w:val="en-GB"/>
        </w:rPr>
        <w:t xml:space="preserve"> (European Union’s Horizon 2020 research and innovation programme - grant agreement 869300). </w:t>
      </w:r>
      <w:r w:rsidR="00B503CF" w:rsidRPr="00A34CD9">
        <w:rPr>
          <w:rFonts w:cstheme="minorHAnsi"/>
        </w:rPr>
        <w:t xml:space="preserve">JUVENA </w:t>
      </w:r>
      <w:proofErr w:type="spellStart"/>
      <w:r w:rsidR="00B503CF" w:rsidRPr="00A34CD9">
        <w:rPr>
          <w:rFonts w:cstheme="minorHAnsi"/>
        </w:rPr>
        <w:t>survey</w:t>
      </w:r>
      <w:proofErr w:type="spellEnd"/>
      <w:r w:rsidR="00B503CF" w:rsidRPr="00A34CD9">
        <w:rPr>
          <w:rFonts w:cstheme="minorHAnsi"/>
        </w:rPr>
        <w:t xml:space="preserve"> </w:t>
      </w:r>
      <w:proofErr w:type="spellStart"/>
      <w:r w:rsidR="00B503CF" w:rsidRPr="00A34CD9">
        <w:rPr>
          <w:rFonts w:cstheme="minorHAnsi"/>
        </w:rPr>
        <w:t>was</w:t>
      </w:r>
      <w:proofErr w:type="spellEnd"/>
      <w:r w:rsidR="00B503CF" w:rsidRPr="00A34CD9">
        <w:rPr>
          <w:rFonts w:cstheme="minorHAnsi"/>
        </w:rPr>
        <w:t xml:space="preserve"> </w:t>
      </w:r>
      <w:proofErr w:type="spellStart"/>
      <w:r w:rsidR="00B503CF" w:rsidRPr="00A34CD9">
        <w:rPr>
          <w:rFonts w:cstheme="minorHAnsi"/>
        </w:rPr>
        <w:t>funded</w:t>
      </w:r>
      <w:proofErr w:type="spellEnd"/>
      <w:r w:rsidR="00B503CF" w:rsidRPr="00A34CD9">
        <w:rPr>
          <w:rFonts w:cstheme="minorHAnsi"/>
        </w:rPr>
        <w:t xml:space="preserve"> </w:t>
      </w:r>
      <w:proofErr w:type="spellStart"/>
      <w:r w:rsidR="00B503CF" w:rsidRPr="00A34CD9">
        <w:rPr>
          <w:rFonts w:cstheme="minorHAnsi"/>
        </w:rPr>
        <w:t>by</w:t>
      </w:r>
      <w:proofErr w:type="spellEnd"/>
      <w:r w:rsidR="00B503CF" w:rsidRPr="00A34CD9">
        <w:rPr>
          <w:rFonts w:cstheme="minorHAnsi"/>
        </w:rPr>
        <w:t xml:space="preserve"> </w:t>
      </w:r>
      <w:proofErr w:type="spellStart"/>
      <w:r w:rsidR="00B503CF" w:rsidRPr="00A34CD9">
        <w:rPr>
          <w:rFonts w:cstheme="minorHAnsi"/>
        </w:rPr>
        <w:t>the</w:t>
      </w:r>
      <w:proofErr w:type="spellEnd"/>
      <w:r w:rsidR="00B503CF" w:rsidRPr="00A34CD9">
        <w:rPr>
          <w:rFonts w:cstheme="minorHAnsi"/>
        </w:rPr>
        <w:t xml:space="preserve"> “</w:t>
      </w:r>
      <w:r w:rsidR="00F62FE8" w:rsidRPr="00A34CD9">
        <w:rPr>
          <w:rFonts w:cstheme="minorHAnsi"/>
        </w:rPr>
        <w:t>Departamento de Desarrollo Económico, Sostenibilidad y Medio Ambiente</w:t>
      </w:r>
      <w:r w:rsidR="00B1468E" w:rsidRPr="00A34CD9">
        <w:rPr>
          <w:rFonts w:cstheme="minorHAnsi"/>
        </w:rPr>
        <w:t>-</w:t>
      </w:r>
      <w:r w:rsidR="00F62FE8" w:rsidRPr="00A34CD9">
        <w:rPr>
          <w:rFonts w:cstheme="minorHAnsi"/>
        </w:rPr>
        <w:t>Viceconsejería de Agricultura, Pesca y Pol</w:t>
      </w:r>
      <w:r w:rsidR="00A34CD9" w:rsidRPr="00A34CD9">
        <w:rPr>
          <w:rFonts w:cstheme="minorHAnsi"/>
        </w:rPr>
        <w:t>í</w:t>
      </w:r>
      <w:r w:rsidR="00F62FE8" w:rsidRPr="00A34CD9">
        <w:rPr>
          <w:rFonts w:cstheme="minorHAnsi"/>
        </w:rPr>
        <w:t>tica Alimentaria, Dirección de Pesca y Acuicultura</w:t>
      </w:r>
      <w:r w:rsidR="00B503CF" w:rsidRPr="00A34CD9">
        <w:rPr>
          <w:rFonts w:cstheme="minorHAnsi"/>
        </w:rPr>
        <w:t xml:space="preserve">” </w:t>
      </w:r>
      <w:proofErr w:type="spellStart"/>
      <w:r w:rsidR="00B503CF" w:rsidRPr="00A34CD9">
        <w:rPr>
          <w:rFonts w:cstheme="minorHAnsi"/>
        </w:rPr>
        <w:t>of</w:t>
      </w:r>
      <w:proofErr w:type="spellEnd"/>
      <w:r w:rsidR="00B503CF" w:rsidRPr="00A34CD9">
        <w:rPr>
          <w:rFonts w:cstheme="minorHAnsi"/>
        </w:rPr>
        <w:t xml:space="preserve"> </w:t>
      </w:r>
      <w:proofErr w:type="spellStart"/>
      <w:r w:rsidR="00B503CF" w:rsidRPr="00A34CD9">
        <w:rPr>
          <w:rFonts w:cstheme="minorHAnsi"/>
        </w:rPr>
        <w:t>the</w:t>
      </w:r>
      <w:proofErr w:type="spellEnd"/>
      <w:r w:rsidR="00B503CF" w:rsidRPr="00A34CD9">
        <w:rPr>
          <w:rFonts w:cstheme="minorHAnsi"/>
        </w:rPr>
        <w:t xml:space="preserve"> </w:t>
      </w:r>
      <w:proofErr w:type="spellStart"/>
      <w:r w:rsidR="00B503CF" w:rsidRPr="00A34CD9">
        <w:rPr>
          <w:rFonts w:cstheme="minorHAnsi"/>
        </w:rPr>
        <w:t>Basque</w:t>
      </w:r>
      <w:proofErr w:type="spellEnd"/>
      <w:r w:rsidR="00B503CF" w:rsidRPr="00A34CD9">
        <w:rPr>
          <w:rFonts w:cstheme="minorHAnsi"/>
        </w:rPr>
        <w:t xml:space="preserve"> </w:t>
      </w:r>
      <w:proofErr w:type="spellStart"/>
      <w:r w:rsidR="00B503CF" w:rsidRPr="00A34CD9">
        <w:rPr>
          <w:rFonts w:cstheme="minorHAnsi"/>
        </w:rPr>
        <w:t>Government</w:t>
      </w:r>
      <w:proofErr w:type="spellEnd"/>
      <w:r w:rsidR="00B503CF" w:rsidRPr="00A34CD9">
        <w:rPr>
          <w:rFonts w:cstheme="minorHAnsi"/>
        </w:rPr>
        <w:t xml:space="preserve"> and </w:t>
      </w:r>
      <w:proofErr w:type="spellStart"/>
      <w:r w:rsidR="00B503CF" w:rsidRPr="00A34CD9">
        <w:rPr>
          <w:rFonts w:cstheme="minorHAnsi"/>
        </w:rPr>
        <w:t>the</w:t>
      </w:r>
      <w:proofErr w:type="spellEnd"/>
      <w:r w:rsidR="00B503CF" w:rsidRPr="00A34CD9">
        <w:rPr>
          <w:rFonts w:cstheme="minorHAnsi"/>
        </w:rPr>
        <w:t xml:space="preserve"> </w:t>
      </w:r>
      <w:proofErr w:type="spellStart"/>
      <w:r w:rsidR="008B0EF2" w:rsidRPr="00A34CD9">
        <w:rPr>
          <w:rFonts w:cstheme="minorHAnsi"/>
        </w:rPr>
        <w:t>Spanish</w:t>
      </w:r>
      <w:proofErr w:type="spellEnd"/>
      <w:r w:rsidR="008B0EF2" w:rsidRPr="00A34CD9">
        <w:rPr>
          <w:rFonts w:cstheme="minorHAnsi"/>
        </w:rPr>
        <w:t xml:space="preserve"> </w:t>
      </w:r>
      <w:proofErr w:type="spellStart"/>
      <w:r w:rsidR="008B0EF2" w:rsidRPr="00A34CD9">
        <w:rPr>
          <w:rFonts w:cstheme="minorHAnsi"/>
        </w:rPr>
        <w:t>Secretary</w:t>
      </w:r>
      <w:proofErr w:type="spellEnd"/>
      <w:r w:rsidR="008B0EF2" w:rsidRPr="00A34CD9">
        <w:rPr>
          <w:rFonts w:cstheme="minorHAnsi"/>
        </w:rPr>
        <w:t xml:space="preserve">-General </w:t>
      </w:r>
      <w:proofErr w:type="spellStart"/>
      <w:r w:rsidR="008B0EF2" w:rsidRPr="00A34CD9">
        <w:rPr>
          <w:rFonts w:cstheme="minorHAnsi"/>
        </w:rPr>
        <w:t>for</w:t>
      </w:r>
      <w:proofErr w:type="spellEnd"/>
      <w:r w:rsidR="008B0EF2" w:rsidRPr="00A34CD9">
        <w:rPr>
          <w:rFonts w:cstheme="minorHAnsi"/>
        </w:rPr>
        <w:t xml:space="preserve"> </w:t>
      </w:r>
      <w:proofErr w:type="spellStart"/>
      <w:r w:rsidR="008B0EF2" w:rsidRPr="00A34CD9">
        <w:rPr>
          <w:rFonts w:cstheme="minorHAnsi"/>
        </w:rPr>
        <w:t>Fisheries</w:t>
      </w:r>
      <w:proofErr w:type="spellEnd"/>
      <w:r w:rsidR="00B503CF" w:rsidRPr="00A34CD9">
        <w:rPr>
          <w:rFonts w:cstheme="minorHAnsi"/>
        </w:rPr>
        <w:t xml:space="preserve">. </w:t>
      </w:r>
      <w:r w:rsidRPr="00A34CD9">
        <w:rPr>
          <w:rFonts w:cstheme="minorHAnsi"/>
          <w:lang w:val="en-GB"/>
        </w:rPr>
        <w:t xml:space="preserve">I.G. was funded by a PhD fellowship from the </w:t>
      </w:r>
      <w:r w:rsidR="00DE7B9E" w:rsidRPr="00A34CD9">
        <w:rPr>
          <w:rFonts w:cstheme="minorHAnsi"/>
          <w:lang w:val="en-GB"/>
        </w:rPr>
        <w:t>IKERTALENT Programme of the Department of Economic Development and Infrastructures of the Basque Government</w:t>
      </w:r>
      <w:r w:rsidRPr="00A34CD9">
        <w:rPr>
          <w:rFonts w:cstheme="minorHAnsi"/>
          <w:lang w:val="en-GB"/>
        </w:rPr>
        <w:t xml:space="preserve">. </w:t>
      </w:r>
    </w:p>
    <w:p w14:paraId="6AD6F4E0" w14:textId="77777777" w:rsidR="004756BB" w:rsidRPr="00A34CD9" w:rsidRDefault="004756BB" w:rsidP="002A528E">
      <w:pPr>
        <w:pStyle w:val="Ttulo1"/>
        <w:suppressLineNumbers/>
        <w:spacing w:after="0"/>
        <w:rPr>
          <w:rFonts w:asciiTheme="minorHAnsi" w:hAnsiTheme="minorHAnsi" w:cstheme="minorHAnsi"/>
          <w:lang w:val="en-GB"/>
        </w:rPr>
      </w:pPr>
      <w:r w:rsidRPr="00A34CD9">
        <w:rPr>
          <w:rFonts w:asciiTheme="minorHAnsi" w:hAnsiTheme="minorHAnsi" w:cstheme="minorHAnsi"/>
          <w:lang w:val="en-GB"/>
        </w:rPr>
        <w:t>Data availability</w:t>
      </w:r>
    </w:p>
    <w:p w14:paraId="462AE8FE" w14:textId="2E7E3EAE" w:rsidR="00863881" w:rsidRPr="00A34CD9" w:rsidRDefault="004756BB" w:rsidP="002A528E">
      <w:pPr>
        <w:suppressLineNumbers/>
        <w:spacing w:line="480" w:lineRule="auto"/>
        <w:jc w:val="both"/>
        <w:rPr>
          <w:rFonts w:eastAsia="Times New Roman" w:cstheme="minorHAnsi"/>
          <w:lang w:val="en-GB"/>
        </w:rPr>
        <w:sectPr w:rsidR="00863881" w:rsidRPr="00A34CD9" w:rsidSect="00092E18">
          <w:pgSz w:w="11906" w:h="16838"/>
          <w:pgMar w:top="1440" w:right="1080" w:bottom="1440" w:left="1080" w:header="708" w:footer="708" w:gutter="0"/>
          <w:lnNumType w:countBy="1" w:restart="continuous"/>
          <w:cols w:space="708"/>
          <w:docGrid w:linePitch="360"/>
        </w:sectPr>
      </w:pPr>
      <w:r w:rsidRPr="00A34CD9">
        <w:rPr>
          <w:rFonts w:cstheme="minorHAnsi"/>
          <w:lang w:val="en-GB"/>
        </w:rPr>
        <w:t xml:space="preserve">Seabird sightings data </w:t>
      </w:r>
      <w:r w:rsidR="008B0EF2" w:rsidRPr="00A34CD9">
        <w:rPr>
          <w:rFonts w:cstheme="minorHAnsi"/>
          <w:lang w:val="en-GB"/>
        </w:rPr>
        <w:t>are available from the corresponding author upon reasonable request</w:t>
      </w:r>
      <w:r w:rsidRPr="00A34CD9">
        <w:rPr>
          <w:rFonts w:cstheme="minorHAnsi"/>
          <w:lang w:val="en-GB"/>
        </w:rPr>
        <w:t xml:space="preserve">. VMS data </w:t>
      </w:r>
      <w:r w:rsidRPr="00A34CD9">
        <w:rPr>
          <w:rFonts w:eastAsia="Times New Roman" w:cstheme="minorHAnsi"/>
          <w:lang w:val="en-GB"/>
        </w:rPr>
        <w:t xml:space="preserve">underlying this article were provided by the Spanish Secretary-General for Fisheries. </w:t>
      </w:r>
    </w:p>
    <w:p w14:paraId="77394571" w14:textId="77777777" w:rsidR="00727727" w:rsidRPr="00A34CD9" w:rsidRDefault="00B401EF" w:rsidP="002A528E">
      <w:pPr>
        <w:pStyle w:val="Ttulo1"/>
        <w:suppressLineNumbers/>
        <w:spacing w:line="360" w:lineRule="auto"/>
        <w:jc w:val="both"/>
        <w:rPr>
          <w:rFonts w:asciiTheme="minorHAnsi" w:hAnsiTheme="minorHAnsi" w:cstheme="minorHAnsi"/>
          <w:lang w:val="en-GB"/>
        </w:rPr>
      </w:pPr>
      <w:r w:rsidRPr="00A34CD9">
        <w:rPr>
          <w:rFonts w:asciiTheme="minorHAnsi" w:hAnsiTheme="minorHAnsi" w:cstheme="minorHAnsi"/>
          <w:lang w:val="en-GB"/>
        </w:rPr>
        <w:lastRenderedPageBreak/>
        <w:t>References</w:t>
      </w:r>
    </w:p>
    <w:bookmarkStart w:id="27" w:name="_Hlk93413982"/>
    <w:p w14:paraId="1157C877" w14:textId="4C1A50AF" w:rsidR="000A7A51" w:rsidRPr="0013000F" w:rsidRDefault="003D2B90"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A34CD9">
        <w:rPr>
          <w:rFonts w:ascii="Calibri Light" w:eastAsia="Times New Roman" w:hAnsi="Calibri Light" w:cs="Calibri Light"/>
          <w:b/>
          <w:szCs w:val="24"/>
          <w:lang w:val="en-GB"/>
        </w:rPr>
        <w:fldChar w:fldCharType="begin" w:fldLock="1"/>
      </w:r>
      <w:r w:rsidRPr="00A34CD9">
        <w:rPr>
          <w:rFonts w:eastAsia="Times New Roman" w:cstheme="minorHAnsi"/>
          <w:b/>
          <w:lang w:val="en-GB"/>
        </w:rPr>
        <w:instrText xml:space="preserve">ADDIN Mendeley Bibliography CSL_BIBLIOGRAPHY </w:instrText>
      </w:r>
      <w:r w:rsidRPr="00A34CD9">
        <w:rPr>
          <w:rFonts w:ascii="Calibri Light" w:eastAsia="Times New Roman" w:hAnsi="Calibri Light" w:cs="Calibri Light"/>
          <w:b/>
          <w:szCs w:val="24"/>
          <w:lang w:val="en-GB"/>
        </w:rPr>
        <w:fldChar w:fldCharType="separate"/>
      </w:r>
      <w:r w:rsidR="000A7A51" w:rsidRPr="0013000F">
        <w:rPr>
          <w:rFonts w:ascii="Calibri" w:hAnsi="Calibri" w:cs="Calibri"/>
          <w:noProof/>
          <w:szCs w:val="24"/>
          <w:lang w:val="en-US"/>
        </w:rPr>
        <w:t>Alfaro-Shigueto, J., Mangel, J. C., Pajuelo, M., Dutton, P. H., Seminoff, J. A., and Godley, B. J. 2010. Where small can have a large impact: Structure and characterization of small-scale fisheries in Peru. Fisheries Research, 106: 8–17.</w:t>
      </w:r>
    </w:p>
    <w:p w14:paraId="6FB226F7" w14:textId="153FB519"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Alvarez, I., Gomez-Gesteira, M., deCastro, M., Gomez-Gesteira, J. L., and Dias, J. M. 2010. Summer upwelling frequency along the western Cantabrian coast from 1967 to 2007. Journal of Marine Systems, 79: 218–226.</w:t>
      </w:r>
    </w:p>
    <w:p w14:paraId="208DB23E"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Amante, C., and Eakins, B. W. 2009. ETOPO1 1 arc-minute global relief model: procedures, data sources, and analysis. Tech Rep NESDIS NGDC-24.</w:t>
      </w:r>
    </w:p>
    <w:p w14:paraId="76FBA633"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Anderson, O. R. J., Small, C. J., Croxall, J. P., Dunn, E. K., Sullivan, B. J., Yates, O., and Black, A. 2011. Global seabird bycatch in longline fisheries. Endangered Species Research, 14: 91–106.</w:t>
      </w:r>
    </w:p>
    <w:p w14:paraId="2F23DCC7" w14:textId="22B2BD9C"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Arnold, T. W. 2010. Uninformative Parameters and Model Selection Using Akaike’s Information Criterion. The Journal of Wildlife Management, 74: 1175–1178.</w:t>
      </w:r>
    </w:p>
    <w:p w14:paraId="0DD987A7"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Arrizabalaga, H., Ortiz, M., Moreno, G., Kell, L. T., and Rodrı, C. 2003. Standardization of bluefin tuna, </w:t>
      </w:r>
      <w:r w:rsidRPr="0013000F">
        <w:rPr>
          <w:rFonts w:ascii="Calibri" w:hAnsi="Calibri" w:cs="Calibri"/>
          <w:i/>
          <w:iCs/>
          <w:noProof/>
          <w:szCs w:val="24"/>
          <w:lang w:val="en-US"/>
        </w:rPr>
        <w:t>Thunnus thynnus</w:t>
      </w:r>
      <w:r w:rsidRPr="0013000F">
        <w:rPr>
          <w:rFonts w:ascii="Calibri" w:hAnsi="Calibri" w:cs="Calibri"/>
          <w:noProof/>
          <w:szCs w:val="24"/>
          <w:lang w:val="en-US"/>
        </w:rPr>
        <w:t>, catch per unit effort in the baitboat fishery of the Bay of Biscay (Eastern Atlantic). Ices Journal of Marine Science, 60: 1216–1231.</w:t>
      </w:r>
    </w:p>
    <w:p w14:paraId="6D35BE79"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Astarloa, A., Louzao, M., Boyra, G., Irigoien, X., Hui, F. K. C., Chust, G., Martinez, U., </w:t>
      </w:r>
      <w:r w:rsidRPr="0013000F">
        <w:rPr>
          <w:rFonts w:ascii="Calibri" w:hAnsi="Calibri" w:cs="Calibri"/>
          <w:i/>
          <w:iCs/>
          <w:noProof/>
          <w:szCs w:val="24"/>
          <w:lang w:val="en-US"/>
        </w:rPr>
        <w:t>et al.</w:t>
      </w:r>
      <w:r w:rsidRPr="0013000F">
        <w:rPr>
          <w:rFonts w:ascii="Calibri" w:hAnsi="Calibri" w:cs="Calibri"/>
          <w:noProof/>
          <w:szCs w:val="24"/>
          <w:lang w:val="en-US"/>
        </w:rPr>
        <w:t xml:space="preserve"> 2019. Identifying main interactions in marine predator-prey networks of the Bay of Biscay. ICES Journal of Marine Science, 76: 2247–2259.</w:t>
      </w:r>
    </w:p>
    <w:p w14:paraId="41D919A0" w14:textId="46AB9D43"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Astarloa, A., Glennie, R., Chust, G., García-Barón, I., Boyra, G., Martinez, U., Rubio, A., </w:t>
      </w:r>
      <w:r w:rsidRPr="0013000F">
        <w:rPr>
          <w:rFonts w:ascii="Calibri" w:hAnsi="Calibri" w:cs="Calibri"/>
          <w:i/>
          <w:iCs/>
          <w:noProof/>
          <w:szCs w:val="24"/>
          <w:lang w:val="en-US"/>
        </w:rPr>
        <w:t>et al.</w:t>
      </w:r>
      <w:r w:rsidRPr="0013000F">
        <w:rPr>
          <w:rFonts w:ascii="Calibri" w:hAnsi="Calibri" w:cs="Calibri"/>
          <w:noProof/>
          <w:szCs w:val="24"/>
          <w:lang w:val="en-US"/>
        </w:rPr>
        <w:t xml:space="preserve"> 2021. Niche segregation mechanisms in marine apex predators inhabiting dynamic environments. Diversity and Distributions, 27: 799–815.</w:t>
      </w:r>
    </w:p>
    <w:p w14:paraId="40B8D7BB"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Authier, M., Dorémus, G., Van Canneyt, O., Boubert, J. J., Gautier, G., Doray, M., Duhamel, E., </w:t>
      </w:r>
      <w:r w:rsidRPr="0013000F">
        <w:rPr>
          <w:rFonts w:ascii="Calibri" w:hAnsi="Calibri" w:cs="Calibri"/>
          <w:i/>
          <w:iCs/>
          <w:noProof/>
          <w:szCs w:val="24"/>
          <w:lang w:val="en-US"/>
        </w:rPr>
        <w:t>et al.</w:t>
      </w:r>
      <w:r w:rsidRPr="0013000F">
        <w:rPr>
          <w:rFonts w:ascii="Calibri" w:hAnsi="Calibri" w:cs="Calibri"/>
          <w:noProof/>
          <w:szCs w:val="24"/>
          <w:lang w:val="en-US"/>
        </w:rPr>
        <w:t xml:space="preserve"> 2018. Exploring change in the relative abundance of marine megafauna in the Bay of Biscay, 2004-2016. Progress in Oceanography, 166: 159–167.</w:t>
      </w:r>
    </w:p>
    <w:p w14:paraId="0E38FB27"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Barton, K. 2016. </w:t>
      </w:r>
      <w:r w:rsidRPr="0013000F">
        <w:rPr>
          <w:rFonts w:ascii="Calibri" w:hAnsi="Calibri" w:cs="Calibri"/>
          <w:i/>
          <w:iCs/>
          <w:noProof/>
          <w:szCs w:val="24"/>
          <w:lang w:val="en-US"/>
        </w:rPr>
        <w:t>MuMIn</w:t>
      </w:r>
      <w:r w:rsidRPr="0013000F">
        <w:rPr>
          <w:rFonts w:ascii="Calibri" w:hAnsi="Calibri" w:cs="Calibri"/>
          <w:noProof/>
          <w:szCs w:val="24"/>
          <w:lang w:val="en-US"/>
        </w:rPr>
        <w:t>: Multi-Model Inference. R package version 1.15.6. https://cran.r-project.org/package=MuMIn.</w:t>
      </w:r>
    </w:p>
    <w:p w14:paraId="3B07AEF5" w14:textId="34724EFF"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Bastardie, F., Nielsen, J. R., Ulrich, C., Egekvist, J., and Degel, H. 2010. Detailed mapping of fishing effort and landings by coupling fishing logbooks with satellite-recorded vessel geo-location. Fisheries Research, 106: 41–53.</w:t>
      </w:r>
    </w:p>
    <w:p w14:paraId="30CFB1CA" w14:textId="24F1585C"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Bi, R., Jiao, Y., and Browder, J. A. 2021. Climate driven spatiotemporal variations in seabird bycatch hotspots and implications for seabird bycatch mitigation. Scientific Reports, 11: 1–15.</w:t>
      </w:r>
    </w:p>
    <w:p w14:paraId="2AE4627C" w14:textId="0B45BFA4" w:rsidR="000A7A51" w:rsidRP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rPr>
      </w:pPr>
      <w:r w:rsidRPr="0013000F">
        <w:rPr>
          <w:rFonts w:ascii="Calibri" w:hAnsi="Calibri" w:cs="Calibri"/>
          <w:noProof/>
          <w:szCs w:val="24"/>
          <w:lang w:val="en-US"/>
        </w:rPr>
        <w:t xml:space="preserve">Bonnet-Lebrun, A., Catry, P., Clark, T., Campioni, L., Kuepfer, A., Tierny, M., Kilbride, E., </w:t>
      </w:r>
      <w:r w:rsidRPr="0013000F">
        <w:rPr>
          <w:rFonts w:ascii="Calibri" w:hAnsi="Calibri" w:cs="Calibri"/>
          <w:i/>
          <w:iCs/>
          <w:noProof/>
          <w:szCs w:val="24"/>
          <w:lang w:val="en-US"/>
        </w:rPr>
        <w:t>et al.</w:t>
      </w:r>
      <w:r w:rsidRPr="0013000F">
        <w:rPr>
          <w:rFonts w:ascii="Calibri" w:hAnsi="Calibri" w:cs="Calibri"/>
          <w:noProof/>
          <w:szCs w:val="24"/>
          <w:lang w:val="en-US"/>
        </w:rPr>
        <w:t xml:space="preserve"> 2020. Habitat preferences, foraging behaviour and bycatch risk among breeding sooty shearwaters Ardenna grisea in the Southwest Atlantic. </w:t>
      </w:r>
      <w:r w:rsidRPr="000A7A51">
        <w:rPr>
          <w:rFonts w:ascii="Calibri" w:hAnsi="Calibri" w:cs="Calibri"/>
          <w:noProof/>
          <w:szCs w:val="24"/>
        </w:rPr>
        <w:t>Marine Ecology Progress Series, 651: 163–181.</w:t>
      </w:r>
    </w:p>
    <w:p w14:paraId="16A2E932"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A7A51">
        <w:rPr>
          <w:rFonts w:ascii="Calibri" w:hAnsi="Calibri" w:cs="Calibri"/>
          <w:noProof/>
          <w:szCs w:val="24"/>
        </w:rPr>
        <w:t xml:space="preserve">Boyra, G., Martínez, U., Cotano, U., Santos, M., Irigoien, X., and Uriarte, A. 2013. </w:t>
      </w:r>
      <w:r w:rsidRPr="0013000F">
        <w:rPr>
          <w:rFonts w:ascii="Calibri" w:hAnsi="Calibri" w:cs="Calibri"/>
          <w:noProof/>
          <w:szCs w:val="24"/>
          <w:lang w:val="en-US"/>
        </w:rPr>
        <w:t>Acoustic surveys for juvenile anchovy in the Bay of Biscay: Abundance estimate as an indicator of the next year’s recruitment and spatial distribution patterns. ICES Journal of Marine Science, 70: 1354–1368.</w:t>
      </w:r>
    </w:p>
    <w:p w14:paraId="02D8D4D8" w14:textId="6A8A659C"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Brown, S. L., Reid, D., and Rogan, E. 2013. A risk-based approach to rapidly screen vulnerability of cetaceans to impacts from fisheries bycatch. Biological Conservation, 168: 78–87.</w:t>
      </w:r>
    </w:p>
    <w:p w14:paraId="536A265A" w14:textId="71EFDE0C"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lastRenderedPageBreak/>
        <w:t>Brown, S. L., Reid, D., and Rogan, E. 2015. Spatial and temporal assessment of potential risk to cetaceans from static fishing gears. Marine Policy, 51: 267–280.</w:t>
      </w:r>
    </w:p>
    <w:p w14:paraId="2A4E3A44"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Buckland, S. T., Anderson, D. R., Burnham, K. P., Laake, J. L., Borchers, D. L., and Thomas, L. 2001. Introduction to distance sampling: estimating abundance of biological populations. Oxford University Press. Oxford. 432 pp.</w:t>
      </w:r>
    </w:p>
    <w:p w14:paraId="161E1EF1"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Bugoni, L., Neves, T. S., Leite, N. O., Carvalho, D., Sales, G., Furness, R. W., Stein, C. E., </w:t>
      </w:r>
      <w:r w:rsidRPr="0013000F">
        <w:rPr>
          <w:rFonts w:ascii="Calibri" w:hAnsi="Calibri" w:cs="Calibri"/>
          <w:i/>
          <w:iCs/>
          <w:noProof/>
          <w:szCs w:val="24"/>
          <w:lang w:val="en-US"/>
        </w:rPr>
        <w:t>et al.</w:t>
      </w:r>
      <w:r w:rsidRPr="0013000F">
        <w:rPr>
          <w:rFonts w:ascii="Calibri" w:hAnsi="Calibri" w:cs="Calibri"/>
          <w:noProof/>
          <w:szCs w:val="24"/>
          <w:lang w:val="en-US"/>
        </w:rPr>
        <w:t xml:space="preserve"> 2008a. Potential bycatch of seabirds and turtles in hook-and-line fisheries of the Itaipava Fleet, Brazil. Fisheries Research, 90: 217–224.</w:t>
      </w:r>
    </w:p>
    <w:p w14:paraId="1C95CE08" w14:textId="77519CD9"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Bugoni, L., Mancini, P. L., Monteiro, D. S., Nascimento, L., and Neves, T. S. 2008b. Seabird bycatch in the Brazilian pelagic longline fishery and a review of capture rates in the southwestern Atlantic Ocean. Endangered Species Research, 5: 137–147.</w:t>
      </w:r>
    </w:p>
    <w:p w14:paraId="3A0DD183" w14:textId="385B451A"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Burnham, K., and Anderson, D. 2002. Model selection and multimodel inference: a practical information-theoretic approach. Springer, New York.</w:t>
      </w:r>
    </w:p>
    <w:p w14:paraId="3F2B68CE"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Campioni, L., Dias, M. P., Granadeiro, J. P., and Catry, P. 2020. An ontogenetic perspective on migratory strategy of a long-lived pelagic seabird: Timings and destinations change progressively during maturation. Journal of Animal Ecology, 89: 29–43.</w:t>
      </w:r>
    </w:p>
    <w:p w14:paraId="7F6074FC"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Chust, G., Goikoetxea, N., Ibaibarriaga, L., Sagarminaga, Y., Arregui, I., Fontán, A., Irigoien, X., </w:t>
      </w:r>
      <w:r w:rsidRPr="0013000F">
        <w:rPr>
          <w:rFonts w:ascii="Calibri" w:hAnsi="Calibri" w:cs="Calibri"/>
          <w:i/>
          <w:iCs/>
          <w:noProof/>
          <w:szCs w:val="24"/>
          <w:lang w:val="en-US"/>
        </w:rPr>
        <w:t>et al.</w:t>
      </w:r>
      <w:r w:rsidRPr="0013000F">
        <w:rPr>
          <w:rFonts w:ascii="Calibri" w:hAnsi="Calibri" w:cs="Calibri"/>
          <w:noProof/>
          <w:szCs w:val="24"/>
          <w:lang w:val="en-US"/>
        </w:rPr>
        <w:t xml:space="preserve"> 2019. Earlier migration and distribution changes of albacore in the Northeast Atlantic. Fisheries Oceanography, 28: 505–516.</w:t>
      </w:r>
    </w:p>
    <w:p w14:paraId="3274D2B2" w14:textId="3F8995C5"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Dias, M. P., Martin, R., Pearmain, E. J., Burfield, I. J., Small, C., Phillips, R. A., Yates, O., </w:t>
      </w:r>
      <w:r w:rsidRPr="0013000F">
        <w:rPr>
          <w:rFonts w:ascii="Calibri" w:hAnsi="Calibri" w:cs="Calibri"/>
          <w:i/>
          <w:iCs/>
          <w:noProof/>
          <w:szCs w:val="24"/>
          <w:lang w:val="en-US"/>
        </w:rPr>
        <w:t>et al.</w:t>
      </w:r>
      <w:r w:rsidRPr="0013000F">
        <w:rPr>
          <w:rFonts w:ascii="Calibri" w:hAnsi="Calibri" w:cs="Calibri"/>
          <w:noProof/>
          <w:szCs w:val="24"/>
          <w:lang w:val="en-US"/>
        </w:rPr>
        <w:t xml:space="preserve"> 2019. Threats to seabirds: A global assessment. Biological Conservation, 237: 525–537.</w:t>
      </w:r>
    </w:p>
    <w:p w14:paraId="46C3C6EA"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Dormann, C., Elith, J., and Bacher, S. 2013. Collinearity: a review of methods to deal with it and a simulation study evaluating their performance. Ecography, 36: 27–46.</w:t>
      </w:r>
    </w:p>
    <w:p w14:paraId="5FB2C716" w14:textId="754EBEBA" w:rsid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Dufour, F., Arrizabalaga, H., Irigoien, X., and Santiago, J. 2010. Climate impacts on albacore and bluefin tunas migrations phenology and spatial distribution. Progress in Oceanography, 86: 283–290.</w:t>
      </w:r>
    </w:p>
    <w:p w14:paraId="68F7E0D3" w14:textId="434B44C7" w:rsidR="00085B36" w:rsidRPr="0013000F" w:rsidRDefault="00085B36"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85B36">
        <w:rPr>
          <w:rFonts w:ascii="Calibri" w:hAnsi="Calibri" w:cs="Calibri"/>
          <w:noProof/>
          <w:szCs w:val="24"/>
          <w:lang w:val="en-US"/>
        </w:rPr>
        <w:t>European Commission. 2011.  Commission Implementing Regulation (EU) no. 404/2011. Laying down  detailed  rules for the implemen- tation  of Council Regulation EC No 1224/2009 establishing a com- munity control  system for ensuring compliance  with the rules of the Common  Fisheries Policy. Official Journal  of the European Union, L 112/1.</w:t>
      </w:r>
    </w:p>
    <w:p w14:paraId="688C8D27" w14:textId="01CBB138" w:rsidR="000A7A51" w:rsidRP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rPr>
      </w:pPr>
      <w:r w:rsidRPr="0013000F">
        <w:rPr>
          <w:rFonts w:ascii="Calibri" w:hAnsi="Calibri" w:cs="Calibri"/>
          <w:noProof/>
          <w:szCs w:val="24"/>
          <w:lang w:val="en-US"/>
        </w:rPr>
        <w:t xml:space="preserve">Fabio, P., Silvia, C., Paolo, V., and Anelli Monti, M. 2016. Present and future status of artisanal fisheries in the Adriatic Sea (western Mediterranean Sea). </w:t>
      </w:r>
      <w:r w:rsidRPr="000A7A51">
        <w:rPr>
          <w:rFonts w:ascii="Calibri" w:hAnsi="Calibri" w:cs="Calibri"/>
          <w:noProof/>
          <w:szCs w:val="24"/>
        </w:rPr>
        <w:t>Ocean and Coastal Management, 122: 49–56.</w:t>
      </w:r>
    </w:p>
    <w:p w14:paraId="730FFC2A" w14:textId="487D4D5D" w:rsidR="000A7A51" w:rsidRP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rPr>
      </w:pPr>
      <w:r w:rsidRPr="000A7A51">
        <w:rPr>
          <w:rFonts w:ascii="Calibri" w:hAnsi="Calibri" w:cs="Calibri"/>
          <w:noProof/>
          <w:szCs w:val="24"/>
        </w:rPr>
        <w:t xml:space="preserve">Fernandes, J. A., Granado, I., Murua, H., Arrizabalaga, H., Zarauz, L., Mugerza, E., Arregi, I., </w:t>
      </w:r>
      <w:r w:rsidRPr="000A7A51">
        <w:rPr>
          <w:rFonts w:ascii="Calibri" w:hAnsi="Calibri" w:cs="Calibri"/>
          <w:i/>
          <w:iCs/>
          <w:noProof/>
          <w:szCs w:val="24"/>
        </w:rPr>
        <w:t>et al.</w:t>
      </w:r>
      <w:r w:rsidRPr="000A7A51">
        <w:rPr>
          <w:rFonts w:ascii="Calibri" w:hAnsi="Calibri" w:cs="Calibri"/>
          <w:noProof/>
          <w:szCs w:val="24"/>
        </w:rPr>
        <w:t xml:space="preserve"> 2019. </w:t>
      </w:r>
      <w:r w:rsidRPr="0013000F">
        <w:rPr>
          <w:rFonts w:ascii="Calibri" w:hAnsi="Calibri" w:cs="Calibri"/>
          <w:noProof/>
          <w:szCs w:val="24"/>
          <w:lang w:val="en-US"/>
        </w:rPr>
        <w:t xml:space="preserve">Bay of Biscay VMS/logbook comparison (FAO Subarea 27.8). </w:t>
      </w:r>
      <w:r w:rsidRPr="0013000F">
        <w:rPr>
          <w:rFonts w:ascii="Calibri" w:hAnsi="Calibri" w:cs="Calibri"/>
          <w:i/>
          <w:iCs/>
          <w:noProof/>
          <w:szCs w:val="24"/>
          <w:lang w:val="en-US"/>
        </w:rPr>
        <w:t>In</w:t>
      </w:r>
      <w:r w:rsidRPr="0013000F">
        <w:rPr>
          <w:rFonts w:ascii="Calibri" w:hAnsi="Calibri" w:cs="Calibri"/>
          <w:noProof/>
          <w:szCs w:val="24"/>
          <w:lang w:val="en-US"/>
        </w:rPr>
        <w:t xml:space="preserve"> Global Atlas of AIS-based fishing activity - Challenges and opportuni- ties. Rome, FAO. Ed. by M. Taconet, D. Kroodsma, and J. A. Fernandes. </w:t>
      </w:r>
      <w:r w:rsidRPr="000A7A51">
        <w:rPr>
          <w:rFonts w:ascii="Calibri" w:hAnsi="Calibri" w:cs="Calibri"/>
          <w:noProof/>
          <w:szCs w:val="24"/>
        </w:rPr>
        <w:t>FAO, Rome.</w:t>
      </w:r>
    </w:p>
    <w:p w14:paraId="4749BFC8" w14:textId="30682A43" w:rsidR="000A7A51" w:rsidRP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rPr>
      </w:pPr>
      <w:r w:rsidRPr="000A7A51">
        <w:rPr>
          <w:rFonts w:ascii="Calibri" w:hAnsi="Calibri" w:cs="Calibri"/>
          <w:noProof/>
          <w:szCs w:val="24"/>
        </w:rPr>
        <w:t xml:space="preserve">García-Barón, I., Authier, M., Caballero, A., Vázquez, J. A., Santos, M. B., Murcia, J. L., and Louzao, M. 2019. </w:t>
      </w:r>
      <w:r w:rsidRPr="0013000F">
        <w:rPr>
          <w:rFonts w:ascii="Calibri" w:hAnsi="Calibri" w:cs="Calibri"/>
          <w:noProof/>
          <w:szCs w:val="24"/>
          <w:lang w:val="en-US"/>
        </w:rPr>
        <w:t xml:space="preserve">Modelling the spatial abundance of a migratory predator: A call for transboundary marine protected areas. </w:t>
      </w:r>
      <w:r w:rsidRPr="000A7A51">
        <w:rPr>
          <w:rFonts w:ascii="Calibri" w:hAnsi="Calibri" w:cs="Calibri"/>
          <w:noProof/>
          <w:szCs w:val="24"/>
        </w:rPr>
        <w:t>Diversity and Distributions, 25: 346–360.</w:t>
      </w:r>
    </w:p>
    <w:p w14:paraId="734F447A" w14:textId="1A0C9795"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A7A51">
        <w:rPr>
          <w:rFonts w:ascii="Calibri" w:hAnsi="Calibri" w:cs="Calibri"/>
          <w:noProof/>
          <w:szCs w:val="24"/>
        </w:rPr>
        <w:t xml:space="preserve">García-Barón, I., Santos, M. B., Saavedra, C., Astarloa, A., Valeiras, J., García Barcelona, S., and Louzao, M. 2020. </w:t>
      </w:r>
      <w:r w:rsidRPr="0013000F">
        <w:rPr>
          <w:rFonts w:ascii="Calibri" w:hAnsi="Calibri" w:cs="Calibri"/>
          <w:noProof/>
          <w:szCs w:val="24"/>
          <w:lang w:val="en-US"/>
        </w:rPr>
        <w:t>Essential ocean variables and high value biodiversity areas: Targets for the conservation of marine megafauna. Ecological Indicators, 117: 106504.</w:t>
      </w:r>
    </w:p>
    <w:p w14:paraId="430300F2"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Hatch, J. M., Wiley, D., Murray, K. T., and Welch, L. 2016. Integrating Satellite-Tagged Seabird and Fishery-Dependent Data: A Case Study of Great Shearwaters (Puffinus gravis) and the U.S. New England Sink </w:t>
      </w:r>
      <w:r w:rsidRPr="0013000F">
        <w:rPr>
          <w:rFonts w:ascii="Calibri" w:hAnsi="Calibri" w:cs="Calibri"/>
          <w:noProof/>
          <w:szCs w:val="24"/>
          <w:lang w:val="en-US"/>
        </w:rPr>
        <w:lastRenderedPageBreak/>
        <w:t>Gillnet Fishery. Conservation Letters, 9: 43–50.</w:t>
      </w:r>
    </w:p>
    <w:p w14:paraId="65480ADF"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Hintzen, N., Bastardie, F., and Beare, D. 2021. </w:t>
      </w:r>
      <w:r w:rsidRPr="0013000F">
        <w:rPr>
          <w:rFonts w:ascii="Calibri" w:hAnsi="Calibri" w:cs="Calibri"/>
          <w:i/>
          <w:iCs/>
          <w:noProof/>
          <w:szCs w:val="24"/>
          <w:lang w:val="en-US"/>
        </w:rPr>
        <w:t>vmstools</w:t>
      </w:r>
      <w:r w:rsidRPr="0013000F">
        <w:rPr>
          <w:rFonts w:ascii="Calibri" w:hAnsi="Calibri" w:cs="Calibri"/>
          <w:noProof/>
          <w:szCs w:val="24"/>
          <w:lang w:val="en-US"/>
        </w:rPr>
        <w:t>: For analysing fisheries VMS (Vessel Monitoring System) data. R package version 0.76. https://cran.r-project.org/package=vmstools.</w:t>
      </w:r>
    </w:p>
    <w:p w14:paraId="17D5E761"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Hobday, A. J., Smith, A., Webb, H., Daley, R., Wayte, S., Bulman, C., Dowdney, J., </w:t>
      </w:r>
      <w:r w:rsidRPr="0013000F">
        <w:rPr>
          <w:rFonts w:ascii="Calibri" w:hAnsi="Calibri" w:cs="Calibri"/>
          <w:i/>
          <w:iCs/>
          <w:noProof/>
          <w:szCs w:val="24"/>
          <w:lang w:val="en-US"/>
        </w:rPr>
        <w:t>et al.</w:t>
      </w:r>
      <w:r w:rsidRPr="0013000F">
        <w:rPr>
          <w:rFonts w:ascii="Calibri" w:hAnsi="Calibri" w:cs="Calibri"/>
          <w:noProof/>
          <w:szCs w:val="24"/>
          <w:lang w:val="en-US"/>
        </w:rPr>
        <w:t xml:space="preserve"> 2007. Ecological Risk Assessment for the Effects of Fishing: Methodology. Report R04/1072 for the Australian Fisheries Management Authority, Canberra.</w:t>
      </w:r>
    </w:p>
    <w:p w14:paraId="041A29F7"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Hobday, A. J., Smith, A. D. M., Stobutzki, I. C., Bulman, C., Daley, R., Dambacher, J. M., Deng, R. A., </w:t>
      </w:r>
      <w:r w:rsidRPr="0013000F">
        <w:rPr>
          <w:rFonts w:ascii="Calibri" w:hAnsi="Calibri" w:cs="Calibri"/>
          <w:i/>
          <w:iCs/>
          <w:noProof/>
          <w:szCs w:val="24"/>
          <w:lang w:val="en-US"/>
        </w:rPr>
        <w:t>et al.</w:t>
      </w:r>
      <w:r w:rsidRPr="0013000F">
        <w:rPr>
          <w:rFonts w:ascii="Calibri" w:hAnsi="Calibri" w:cs="Calibri"/>
          <w:noProof/>
          <w:szCs w:val="24"/>
          <w:lang w:val="en-US"/>
        </w:rPr>
        <w:t xml:space="preserve"> 2011. Ecological risk assessment for the effects of fishing. Fisheries Research, 108: 372–384.</w:t>
      </w:r>
    </w:p>
    <w:p w14:paraId="7AC8A545" w14:textId="5380A3E6"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ICES. 2020. Working Group on Bycatch of Protected Species (WGBYC). ICES Scientific Reports.</w:t>
      </w:r>
      <w:r w:rsidR="00556EB9" w:rsidRPr="0013000F">
        <w:rPr>
          <w:rFonts w:ascii="Calibri" w:hAnsi="Calibri" w:cs="Calibri"/>
          <w:noProof/>
          <w:szCs w:val="24"/>
          <w:lang w:val="en-US"/>
        </w:rPr>
        <w:t xml:space="preserve"> 2:81.</w:t>
      </w:r>
      <w:r w:rsidRPr="0013000F">
        <w:rPr>
          <w:rFonts w:ascii="Calibri" w:hAnsi="Calibri" w:cs="Calibri"/>
          <w:noProof/>
          <w:szCs w:val="24"/>
          <w:lang w:val="en-US"/>
        </w:rPr>
        <w:t xml:space="preserve"> 2</w:t>
      </w:r>
      <w:r w:rsidR="00556EB9" w:rsidRPr="0013000F">
        <w:rPr>
          <w:rFonts w:ascii="Calibri" w:hAnsi="Calibri" w:cs="Calibri"/>
          <w:noProof/>
          <w:szCs w:val="24"/>
          <w:lang w:val="en-US"/>
        </w:rPr>
        <w:t>16</w:t>
      </w:r>
      <w:r w:rsidRPr="0013000F">
        <w:rPr>
          <w:rFonts w:ascii="Calibri" w:hAnsi="Calibri" w:cs="Calibri"/>
          <w:noProof/>
          <w:szCs w:val="24"/>
          <w:lang w:val="en-US"/>
        </w:rPr>
        <w:t xml:space="preserve"> pp.</w:t>
      </w:r>
    </w:p>
    <w:p w14:paraId="7E793F46"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Jiménez, S., Phillips, R. A., Brazeiro, A., Defeo, O., and Domingo, A. 2014. Bycatch of great albatrosses in pelagic longline fisheries in the southwest Atlantic: Contributing factors and implications for management. Biological Conservation, 171: 9–20.</w:t>
      </w:r>
    </w:p>
    <w:p w14:paraId="0C7D6056"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Johnson, J. B., and Omland, K. S. 2004. Model selection in ecology and evolution. Trends in Ecology and Evolution, 19: 101–108.</w:t>
      </w:r>
    </w:p>
    <w:p w14:paraId="40E5791E"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Laake, J., Borchers, D., Thomas, L., Miller, D., and Bishop, J. 2015. mrds: Mark-Recapture Distance Sampling. R package version 2.1.14. url: https://CRAN.R-project.org/package=mrds.</w:t>
      </w:r>
    </w:p>
    <w:p w14:paraId="3E643E61"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Lambert, C., Virgili, A., Pettex, E., Delavenne, J., Toison, V., Blanck, A., and Ridoux, V. 2017. Habitat modelling predictions highlight seasonal relevance of Marine Protected Areas for marine megafauna. Deep-Sea Research Part Ii-Topical Studies in Oceanography, 141: 262–274.</w:t>
      </w:r>
    </w:p>
    <w:p w14:paraId="26B9D7D8"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Lavín, A., Valdés, L., Sánchez, F., Abaunza, P., Forest, A., Boucher, J., Lazure, P., </w:t>
      </w:r>
      <w:r w:rsidRPr="0013000F">
        <w:rPr>
          <w:rFonts w:ascii="Calibri" w:hAnsi="Calibri" w:cs="Calibri"/>
          <w:i/>
          <w:iCs/>
          <w:noProof/>
          <w:szCs w:val="24"/>
          <w:lang w:val="en-US"/>
        </w:rPr>
        <w:t>et al.</w:t>
      </w:r>
      <w:r w:rsidRPr="0013000F">
        <w:rPr>
          <w:rFonts w:ascii="Calibri" w:hAnsi="Calibri" w:cs="Calibri"/>
          <w:noProof/>
          <w:szCs w:val="24"/>
          <w:lang w:val="en-US"/>
        </w:rPr>
        <w:t xml:space="preserve"> 2006. The Bay of Biscay: the encountering of the ocean and the shelf. </w:t>
      </w:r>
      <w:r w:rsidRPr="0013000F">
        <w:rPr>
          <w:rFonts w:ascii="Calibri" w:hAnsi="Calibri" w:cs="Calibri"/>
          <w:i/>
          <w:iCs/>
          <w:noProof/>
          <w:szCs w:val="24"/>
          <w:lang w:val="en-US"/>
        </w:rPr>
        <w:t>In</w:t>
      </w:r>
      <w:r w:rsidRPr="0013000F">
        <w:rPr>
          <w:rFonts w:ascii="Calibri" w:hAnsi="Calibri" w:cs="Calibri"/>
          <w:noProof/>
          <w:szCs w:val="24"/>
          <w:lang w:val="en-US"/>
        </w:rPr>
        <w:t xml:space="preserve"> The Seas, pp. 933–1001. Ed. by A. R. Robinson and K. H. Bring. Harvard University Press, Cambridge, UK.</w:t>
      </w:r>
    </w:p>
    <w:p w14:paraId="429A53AF" w14:textId="0C9B66C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Le Bot, T., Lescroël, A., and Grémillet, D. 2018. A toolkit to study seabird-fishery interactions. ICES Journal of Marine Science, 75: 1513–1525.</w:t>
      </w:r>
    </w:p>
    <w:p w14:paraId="35892EBA"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Lewison, R. L., Crowder, L. B., Read, A. J., and Freeman, S. A. 2004. Understanding impacts of fisheries bycatch on marine megafauna. Trends in Ecology and Evolution, 19: 598–604.</w:t>
      </w:r>
    </w:p>
    <w:p w14:paraId="6AD25A5A" w14:textId="1AE3BAAA"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Louzao, M., Afán, I., Santos, M., and Brereton, T. 2015. The role of climate and food availability on driving decadal abundance patterns of highly migratory pelagic predators in the Bay of Biscay. Frontiers in Ecology and Evolution, 3: 90.</w:t>
      </w:r>
    </w:p>
    <w:p w14:paraId="22E12529" w14:textId="3E19988D"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Louzao, M., García-Barón, I., Rubio, A., Martínez, U., Vázquez, J. A., Murcia, J. L., Nogueira, E., </w:t>
      </w:r>
      <w:r w:rsidRPr="0013000F">
        <w:rPr>
          <w:rFonts w:ascii="Calibri" w:hAnsi="Calibri" w:cs="Calibri"/>
          <w:i/>
          <w:iCs/>
          <w:noProof/>
          <w:szCs w:val="24"/>
          <w:lang w:val="en-US"/>
        </w:rPr>
        <w:t>et al.</w:t>
      </w:r>
      <w:r w:rsidRPr="0013000F">
        <w:rPr>
          <w:rFonts w:ascii="Calibri" w:hAnsi="Calibri" w:cs="Calibri"/>
          <w:noProof/>
          <w:szCs w:val="24"/>
          <w:lang w:val="en-US"/>
        </w:rPr>
        <w:t xml:space="preserve"> 2019. Understanding the 3D environment of pelagic predators from multidisciplinary oceanographic surveys to advance ecosystem-based monitoring. Marine Ecology Progress Series, 617–618: 199–219.</w:t>
      </w:r>
    </w:p>
    <w:p w14:paraId="325B501D" w14:textId="4A3A5465"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Mannocci, L., Dabin, W., Augeraud-Véron, E., Dupuy, J. F., Barbraud, C., and Ridoux, V. 2012. Assessing the impact of bycatch on dolphin populations: The case of the common dolphin in the Eastern North Atlantic. PLoS ONE, 7: e32615.</w:t>
      </w:r>
    </w:p>
    <w:p w14:paraId="741D478B" w14:textId="70C31CE7" w:rsidR="000A7A51"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Marques, F. F. C., and Buckland, S. T. 2004. Covariate models for the detection function. </w:t>
      </w:r>
      <w:r w:rsidRPr="0013000F">
        <w:rPr>
          <w:rFonts w:ascii="Calibri" w:hAnsi="Calibri" w:cs="Calibri"/>
          <w:i/>
          <w:iCs/>
          <w:noProof/>
          <w:szCs w:val="24"/>
          <w:lang w:val="en-US"/>
        </w:rPr>
        <w:t>In</w:t>
      </w:r>
      <w:r w:rsidRPr="0013000F">
        <w:rPr>
          <w:rFonts w:ascii="Calibri" w:hAnsi="Calibri" w:cs="Calibri"/>
          <w:noProof/>
          <w:szCs w:val="24"/>
          <w:lang w:val="en-US"/>
        </w:rPr>
        <w:t xml:space="preserve"> Advanced Distance Sampling, pp. 31–47. Ed. by S. T. Buckland, D. R. Anderson, K. P. Burnham, and L. Thomas. Oxford University Press, Oxford.</w:t>
      </w:r>
    </w:p>
    <w:p w14:paraId="0838BD89" w14:textId="5831A88C" w:rsidR="00085B36" w:rsidRPr="0013000F" w:rsidRDefault="00085B36"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85B36">
        <w:rPr>
          <w:rFonts w:ascii="Calibri" w:hAnsi="Calibri" w:cs="Calibri"/>
          <w:noProof/>
          <w:szCs w:val="24"/>
          <w:lang w:val="en-US"/>
        </w:rPr>
        <w:t>McCauley,  D. J., Pinsky, M. L., Palumbi,  S. R., Estes, J. A., Joyce, F. H., and  Warner, R. R. 2015.  Marine  defaunation: Animal  loss in the global ocean. Science, 347: 1255641.</w:t>
      </w:r>
    </w:p>
    <w:p w14:paraId="224E85A0"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Miller, K. I., Nadheeh, I., Riyaz Jauharee, A., Charles Anderson, R., and Shiham Adam, M. 2017. Bycatch in the </w:t>
      </w:r>
      <w:r w:rsidRPr="0013000F">
        <w:rPr>
          <w:rFonts w:ascii="Calibri" w:hAnsi="Calibri" w:cs="Calibri"/>
          <w:noProof/>
          <w:szCs w:val="24"/>
          <w:lang w:val="en-US"/>
        </w:rPr>
        <w:lastRenderedPageBreak/>
        <w:t>Maldivian pole-and-line tuna fishery. PLoS ONE, 12: e0177391.</w:t>
      </w:r>
    </w:p>
    <w:p w14:paraId="396914C8"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Miller, M. G. R., Carlile, N., Phillips, J. S., McDuie, F., and Congdon, B. C. 2018. The importance of tropical tuna for seabirds foraging over a marine productivity gradient. Marine Ecology Progress Series, 586: 233–249.</w:t>
      </w:r>
    </w:p>
    <w:p w14:paraId="0F4F0557"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Molina, J. M., and Cooke, S. J. 2012. Trends in shark bycatch research: Current status and research needs. Reviews in Fish Biology and Fisheries, 22: 719–737.</w:t>
      </w:r>
    </w:p>
    <w:p w14:paraId="658C956C" w14:textId="650C268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MSC. 2021. North Atlantic Albacore Artisanal Fishery Public Certification Report. https://fisheries.msc.org/en/fisheries/north-atlantic-albacore-artisanal-fishery/</w:t>
      </w:r>
      <w:r w:rsidR="00085B36">
        <w:rPr>
          <w:rFonts w:ascii="Calibri" w:hAnsi="Calibri" w:cs="Calibri"/>
          <w:noProof/>
          <w:szCs w:val="24"/>
          <w:lang w:val="en-US"/>
        </w:rPr>
        <w:t xml:space="preserve"> </w:t>
      </w:r>
      <w:r w:rsidR="00085B36" w:rsidRPr="00085B36">
        <w:rPr>
          <w:rFonts w:ascii="Calibri" w:hAnsi="Calibri" w:cs="Calibri"/>
          <w:noProof/>
          <w:szCs w:val="24"/>
          <w:lang w:val="en-US"/>
        </w:rPr>
        <w:t>(last</w:t>
      </w:r>
      <w:r w:rsidR="00085B36">
        <w:rPr>
          <w:rFonts w:ascii="Calibri" w:hAnsi="Calibri" w:cs="Calibri"/>
          <w:noProof/>
          <w:szCs w:val="24"/>
          <w:lang w:val="en-US"/>
        </w:rPr>
        <w:t xml:space="preserve"> </w:t>
      </w:r>
      <w:r w:rsidR="00085B36" w:rsidRPr="00085B36">
        <w:rPr>
          <w:rFonts w:ascii="Calibri" w:hAnsi="Calibri" w:cs="Calibri"/>
          <w:noProof/>
          <w:szCs w:val="24"/>
          <w:lang w:val="en-US"/>
        </w:rPr>
        <w:t>accessed 2022  January  10).</w:t>
      </w:r>
    </w:p>
    <w:p w14:paraId="5D4D40A0" w14:textId="66711521" w:rsidR="000A7A51" w:rsidRPr="000E008B"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E008B">
        <w:rPr>
          <w:rFonts w:ascii="Calibri" w:hAnsi="Calibri" w:cs="Calibri"/>
          <w:noProof/>
          <w:szCs w:val="24"/>
          <w:lang w:val="en-US"/>
        </w:rPr>
        <w:t>Oliver, S., Braccini, M., Newman, S. J., and Harvey, E. S. 2015. Global patterns in the bycatch of sharks and rays. Marine Policy, 54: 86–97.</w:t>
      </w:r>
    </w:p>
    <w:p w14:paraId="77B525A5" w14:textId="6B2F9E1A"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E008B">
        <w:rPr>
          <w:rFonts w:ascii="Calibri" w:hAnsi="Calibri" w:cs="Calibri"/>
          <w:noProof/>
          <w:szCs w:val="24"/>
          <w:lang w:val="en-US"/>
        </w:rPr>
        <w:t>Pairaud, I. L., Auclair, F., Marsaleix, P., Lyard, F., and Pichon, A. 2010. Dynamics of the semi-diurnal and quarter-diurnal internal tides in the Bay of Biscay. Part 2: Baroclinic tides. Continental Shelf Research, 30: 253–269.</w:t>
      </w:r>
    </w:p>
    <w:p w14:paraId="7B721DE1" w14:textId="2B2799B0"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Pauly, D. 2006. Major Trends in Small-Scale Marine Fisheries, with Emphasis on Developing Countries, and Some Implication fro Social Sciences. Maritime Studies, 4: 7–22.</w:t>
      </w:r>
    </w:p>
    <w:p w14:paraId="63F13327"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Peckham, S. H., Maldonado Diaz, D., Walli, A., Ruiz, G., Crowder, L. B., and Nichols, W. J. 2007. Small-scale fisheries bycatch jeopardizez endangered pacific loggerhead turtles. PLoS ONE, 2: e1041.</w:t>
      </w:r>
    </w:p>
    <w:p w14:paraId="37444718"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Peltier, H., Authier, M., Deaville, R., Dabin, W., Jepson, P. D., van Canneyt, O., Daniel, P., </w:t>
      </w:r>
      <w:r w:rsidRPr="0013000F">
        <w:rPr>
          <w:rFonts w:ascii="Calibri" w:hAnsi="Calibri" w:cs="Calibri"/>
          <w:i/>
          <w:iCs/>
          <w:noProof/>
          <w:szCs w:val="24"/>
          <w:lang w:val="en-US"/>
        </w:rPr>
        <w:t>et al.</w:t>
      </w:r>
      <w:r w:rsidRPr="0013000F">
        <w:rPr>
          <w:rFonts w:ascii="Calibri" w:hAnsi="Calibri" w:cs="Calibri"/>
          <w:noProof/>
          <w:szCs w:val="24"/>
          <w:lang w:val="en-US"/>
        </w:rPr>
        <w:t xml:space="preserve"> 2016. Small cetacean bycatch as estimated from stranding schemes: The common dolphin case in the northeast Atlantic. Environmental Science and Policy, 63: 7–18.</w:t>
      </w:r>
    </w:p>
    <w:p w14:paraId="51683B16"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Peltier, H., Authier, M., Caurant, F., Dabin, W., Daniel, P., Dars, C., Demaret, F., </w:t>
      </w:r>
      <w:r w:rsidRPr="0013000F">
        <w:rPr>
          <w:rFonts w:ascii="Calibri" w:hAnsi="Calibri" w:cs="Calibri"/>
          <w:i/>
          <w:iCs/>
          <w:noProof/>
          <w:szCs w:val="24"/>
          <w:lang w:val="en-US"/>
        </w:rPr>
        <w:t>et al.</w:t>
      </w:r>
      <w:r w:rsidRPr="0013000F">
        <w:rPr>
          <w:rFonts w:ascii="Calibri" w:hAnsi="Calibri" w:cs="Calibri"/>
          <w:noProof/>
          <w:szCs w:val="24"/>
          <w:lang w:val="en-US"/>
        </w:rPr>
        <w:t xml:space="preserve"> 2021. In the Wrong Place at the Wrong Time: Identifying Spatiotemporal Co-occurrence of Bycaught Common Dolphins and Fisheries in the Bay of Biscay (NE Atlantic) From 2010 to 2019. Frontiers in Marine Science, 8: 1–17.</w:t>
      </w:r>
    </w:p>
    <w:p w14:paraId="26AF8CE4" w14:textId="5495A8CD"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Pereira, J. M., Ramos, J. A., Marques, A. M., Ceia, F. R., Krüger, L., Votier, S. C., and Paiva, V. H. 2021. Low spatial overlap between foraging shearwaters during the breeding season and industrial fisheries off the west coast of Portugal. Marine Ecology Progress Series, 657: 209–221.</w:t>
      </w:r>
    </w:p>
    <w:p w14:paraId="37BCCEC3" w14:textId="269B1354"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Pettex, E., Laran, S., Authier, M., Blanck, A., Dorémus, G., Falchetto, H., Lambert, C., </w:t>
      </w:r>
      <w:r w:rsidRPr="0013000F">
        <w:rPr>
          <w:rFonts w:ascii="Calibri" w:hAnsi="Calibri" w:cs="Calibri"/>
          <w:i/>
          <w:iCs/>
          <w:noProof/>
          <w:szCs w:val="24"/>
          <w:lang w:val="en-US"/>
        </w:rPr>
        <w:t>et al.</w:t>
      </w:r>
      <w:r w:rsidRPr="0013000F">
        <w:rPr>
          <w:rFonts w:ascii="Calibri" w:hAnsi="Calibri" w:cs="Calibri"/>
          <w:noProof/>
          <w:szCs w:val="24"/>
          <w:lang w:val="en-US"/>
        </w:rPr>
        <w:t xml:space="preserve"> 2017. Using large scale surveys to investigate seasonal variations in seabird distribution and abundance. Part II: The Bay of Biscay and the English Channel. Deep Sea Research, 141: 86–101.</w:t>
      </w:r>
    </w:p>
    <w:p w14:paraId="6154D0B3"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Pinnegar, J. K., Goni, N., Trenkel, V. M., Arrizabalaga, H., Melle, W., Keating, J., and Oskarsson, G. 2015. A new compilation of stomach content data for commercially important pelagic fish species in the northeast Atlantic. Earth System Science Data, 7: 19–28.</w:t>
      </w:r>
    </w:p>
    <w:p w14:paraId="0DD75645" w14:textId="2677B319"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Pott, C., and Wiedenfeld, D. A. 2017. Information gaps limit our understanding of seabird bycatch in global fisheries.</w:t>
      </w:r>
      <w:r w:rsidR="006A5ED0" w:rsidRPr="0013000F">
        <w:rPr>
          <w:rFonts w:ascii="Calibri" w:hAnsi="Calibri" w:cs="Calibri"/>
          <w:noProof/>
          <w:szCs w:val="24"/>
          <w:lang w:val="en-US"/>
        </w:rPr>
        <w:t xml:space="preserve"> Biological Conservation, 210: 192-204.</w:t>
      </w:r>
    </w:p>
    <w:p w14:paraId="1915567B"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Powers, K. D., Wiley, D. N., Robuck, A. R., Olson, Z. H., Welch, L. J., Thompson, M. A., and Kaufman, L. 2020. Spatiotemporal characterization of non-breeding great shearwaters </w:t>
      </w:r>
      <w:r w:rsidRPr="0013000F">
        <w:rPr>
          <w:rFonts w:ascii="Calibri" w:hAnsi="Calibri" w:cs="Calibri"/>
          <w:i/>
          <w:iCs/>
          <w:noProof/>
          <w:szCs w:val="24"/>
          <w:lang w:val="en-US"/>
        </w:rPr>
        <w:t>Ardenna gravis</w:t>
      </w:r>
      <w:r w:rsidRPr="0013000F">
        <w:rPr>
          <w:rFonts w:ascii="Calibri" w:hAnsi="Calibri" w:cs="Calibri"/>
          <w:noProof/>
          <w:szCs w:val="24"/>
          <w:lang w:val="en-US"/>
        </w:rPr>
        <w:t xml:space="preserve"> within their wintering range. Marine Ornithology, 48: 215–229.</w:t>
      </w:r>
    </w:p>
    <w:p w14:paraId="62A3761D" w14:textId="07601D70"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Read, A. J., Drinker, P., and Northridge, S. 2006. Bycatch of marine mammals in U.S. and global fisheries. Conservation Biology, 20: 163–169.</w:t>
      </w:r>
    </w:p>
    <w:p w14:paraId="33F710AD" w14:textId="37F027EB"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Ronconi, R. A., Ryan, P. G., and Ropert-Coudert, Y. 2010. Diving of great shearwaters (Puffinus gravis) in cold and warm water regions of the South Atlantic Ocean. PLoS ONE, 5: e15508.</w:t>
      </w:r>
    </w:p>
    <w:p w14:paraId="28478408" w14:textId="5E205E5D"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lastRenderedPageBreak/>
        <w:t>Ronconi, R. A., Schoombie, S., Westgate, A. J., Wong, S. N. P., Koopman, H. N., and Ryan, P. G. 2018. Effects of age, sex, colony and breeding phase on marine space use by Great Shearwaters Ardenna gravis in the South Atlantic. Marine Biology, 165: 1–13.</w:t>
      </w:r>
    </w:p>
    <w:p w14:paraId="5AA0EFCF"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Santiago, J., Arrizabalaga, H., Ortiz, M., and Goñi, N. 2016. Updated standardized bluefin tuna CPUE index of the Bay of Biscay baitboat. SCRS/2013/054. Collective Volume of Scientific Papers ICCAT, 72: 1694–1714.</w:t>
      </w:r>
    </w:p>
    <w:p w14:paraId="6B1CCE49"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Scales, K. L., Hazen, E. L., Jacox, M. G., Castruccio, F., Maxwell, S. M., Lewison, R. L., and Bograd, S. J. 2018. Fisheries bycatch risk to marine megafauna is intensified in Lagrangian coherent structures. Proceedings of the National Academy of Sciences of the United States of America, 115: 7362–7367.</w:t>
      </w:r>
    </w:p>
    <w:p w14:paraId="4B22AA8C" w14:textId="6A8FF03D"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Schoombie, S., Dilley, B. J., Davies, D., and Ryan, P. G. 2018. The foraging range of Great Shearwaters (</w:t>
      </w:r>
      <w:r w:rsidRPr="0013000F">
        <w:rPr>
          <w:rFonts w:ascii="Calibri" w:hAnsi="Calibri" w:cs="Calibri"/>
          <w:i/>
          <w:iCs/>
          <w:noProof/>
          <w:szCs w:val="24"/>
          <w:lang w:val="en-US"/>
        </w:rPr>
        <w:t>Ardenna gravis</w:t>
      </w:r>
      <w:r w:rsidRPr="0013000F">
        <w:rPr>
          <w:rFonts w:ascii="Calibri" w:hAnsi="Calibri" w:cs="Calibri"/>
          <w:noProof/>
          <w:szCs w:val="24"/>
          <w:lang w:val="en-US"/>
        </w:rPr>
        <w:t>) breeding on Gough Island. Polar Biology, 41: 2451–2458.</w:t>
      </w:r>
    </w:p>
    <w:p w14:paraId="0BF5A995" w14:textId="7D750C94"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Scott, B. E., Sharples, J., Ross, O. N., Wang, J., Pierce, G. J., and Camphuysen, C. J. 2010. Sub-surface hotspots in shallow seas: Fine-scale limited locations of top predator foraging habitat indicated by tidal mixing and sub-surface chlorophyll. Marine Ecology Progress Series, 408: 207–226.</w:t>
      </w:r>
    </w:p>
    <w:p w14:paraId="6A77821B"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Simmonds, J., and MacLennan, D. 2005. Fishery acoustic theory and practice. Blackwell Scientific Publications, Oxford (UK).</w:t>
      </w:r>
    </w:p>
    <w:p w14:paraId="05C742DE" w14:textId="19035962"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Small, C., Waugh, S. M., and Phillips, R. A. 2013. The justification, design and implementation of Ecological Risk Assessments of the effects of fishing on seabirds. Marine Policy, 37: 192–199.</w:t>
      </w:r>
    </w:p>
    <w:p w14:paraId="485CF831"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Stelzenmüller, V., Ehrich, S., and Zauke, G. P. 2005. Effects of survey scale and water depth on the assessment of spatial distribution patterns of selected fish in the northern North Sea showing different levels of aggregation. Marine Biology Research, 1: 375–387.</w:t>
      </w:r>
    </w:p>
    <w:p w14:paraId="31AA5CD3" w14:textId="786C4BD8"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Stelzenmüller, V., Maynou, F., and Martín, P. 2009. Patterns of species and functional diversity around a coastal marine reserve: A fisheries perspective. Aquatic Conservation: Marine and Freshwater Ecosystems, 19: 554–565.</w:t>
      </w:r>
    </w:p>
    <w:p w14:paraId="6FB7C924" w14:textId="6E2B9A78"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Stobutzki, I., Miller, M., and Brewer, D. 2001. Sustainability of fishery bycatch: a process for assessing highly diverse and numerous bycatch. Environmental Conservation, 28: 167–181.</w:t>
      </w:r>
    </w:p>
    <w:p w14:paraId="78AC56A5"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Temple, A. J., Kiszka, J. J., Stead, S. M., Wambiji, N., Brito, A., Poonian, C. N. S., Amir, O. A., </w:t>
      </w:r>
      <w:r w:rsidRPr="0013000F">
        <w:rPr>
          <w:rFonts w:ascii="Calibri" w:hAnsi="Calibri" w:cs="Calibri"/>
          <w:i/>
          <w:iCs/>
          <w:noProof/>
          <w:szCs w:val="24"/>
          <w:lang w:val="en-US"/>
        </w:rPr>
        <w:t>et al.</w:t>
      </w:r>
      <w:r w:rsidRPr="0013000F">
        <w:rPr>
          <w:rFonts w:ascii="Calibri" w:hAnsi="Calibri" w:cs="Calibri"/>
          <w:noProof/>
          <w:szCs w:val="24"/>
          <w:lang w:val="en-US"/>
        </w:rPr>
        <w:t xml:space="preserve"> 2018. Marine megafauna interactions with small-scale fisheries in the southwestern Indian Ocean: a review of status and challenges for research and management. Reviews in Fish Biology and Fisheries, 28: 89–115.</w:t>
      </w:r>
    </w:p>
    <w:p w14:paraId="0684FFCA"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Thomas, L., Buckland, S. T., Rexstad, E. A., Laake, J. L., Strindberg, S., Hedley, S. L., Bishop, J. R. B., </w:t>
      </w:r>
      <w:r w:rsidRPr="0013000F">
        <w:rPr>
          <w:rFonts w:ascii="Calibri" w:hAnsi="Calibri" w:cs="Calibri"/>
          <w:i/>
          <w:iCs/>
          <w:noProof/>
          <w:szCs w:val="24"/>
          <w:lang w:val="en-US"/>
        </w:rPr>
        <w:t>et al.</w:t>
      </w:r>
      <w:r w:rsidRPr="0013000F">
        <w:rPr>
          <w:rFonts w:ascii="Calibri" w:hAnsi="Calibri" w:cs="Calibri"/>
          <w:noProof/>
          <w:szCs w:val="24"/>
          <w:lang w:val="en-US"/>
        </w:rPr>
        <w:t xml:space="preserve"> 2010. Distance software: Design and analysis of distance sampling surveys for estimating population size. Journal of Applied Ecology, 47: 5–14.</w:t>
      </w:r>
    </w:p>
    <w:p w14:paraId="3755A7FF"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Tuck, G. N., Phillips, R. a, Small, C., Thomson, R. B., Klaer, N. L., Taylor, F., Wanless, R. M., </w:t>
      </w:r>
      <w:r w:rsidRPr="0013000F">
        <w:rPr>
          <w:rFonts w:ascii="Calibri" w:hAnsi="Calibri" w:cs="Calibri"/>
          <w:i/>
          <w:iCs/>
          <w:noProof/>
          <w:szCs w:val="24"/>
          <w:lang w:val="en-US"/>
        </w:rPr>
        <w:t>et al.</w:t>
      </w:r>
      <w:r w:rsidRPr="0013000F">
        <w:rPr>
          <w:rFonts w:ascii="Calibri" w:hAnsi="Calibri" w:cs="Calibri"/>
          <w:noProof/>
          <w:szCs w:val="24"/>
          <w:lang w:val="en-US"/>
        </w:rPr>
        <w:t xml:space="preserve"> 2011. An assessment of seabird – fishery interactions in the Atlantic Ocean, 68: 1628–1637.</w:t>
      </w:r>
    </w:p>
    <w:p w14:paraId="6C1AC3A4" w14:textId="44833AF3"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0A7A51">
        <w:rPr>
          <w:rFonts w:ascii="Calibri" w:hAnsi="Calibri" w:cs="Calibri"/>
          <w:noProof/>
          <w:szCs w:val="24"/>
        </w:rPr>
        <w:t xml:space="preserve">Uranga, J., Arrizabalaga, H., Boyra, G., Hernandez, C., and Goñi, N. 2019. </w:t>
      </w:r>
      <w:r w:rsidRPr="0013000F">
        <w:rPr>
          <w:rFonts w:ascii="Calibri" w:hAnsi="Calibri" w:cs="Calibri"/>
          <w:noProof/>
          <w:szCs w:val="24"/>
          <w:lang w:val="en-US"/>
        </w:rPr>
        <w:t>Counting and sizing Atlantic bluefin tuna schools using medium range sonars of baitboats in the Bay of Biscay. Continental Shelf Research, 182: 37–45.</w:t>
      </w:r>
    </w:p>
    <w:p w14:paraId="59D05AE5" w14:textId="3EA2312D"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Veit, R. R., and Harrison, N. M. 2017. Positive Interactions among Foraging Seabirds, Marine Mammals and Fishes and Implications for Their Conservation. Frontiers in Ecology and Evolution, 5: 121.</w:t>
      </w:r>
    </w:p>
    <w:p w14:paraId="293BE7D2"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Waugh, S., Filippi, D., Walker, N., and Kirby, D. S. 2008. Preliminary results of an ecological risk assessment for New Zealand fisheries interactions with seabirds and marine mammals. WCPFC-SC4-200-EB-WP2. Kolonia.</w:t>
      </w:r>
    </w:p>
    <w:p w14:paraId="7A393AF4" w14:textId="210C4AF0"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Waugh, S. M., Filippi, D. P., Kirby, D. S., Abraham, E., and Walker, N. 2012. Ecological Risk Assessment for </w:t>
      </w:r>
      <w:r w:rsidRPr="0013000F">
        <w:rPr>
          <w:rFonts w:ascii="Calibri" w:hAnsi="Calibri" w:cs="Calibri"/>
          <w:noProof/>
          <w:szCs w:val="24"/>
          <w:lang w:val="en-US"/>
        </w:rPr>
        <w:lastRenderedPageBreak/>
        <w:t>seabird interactions in Western and Central Pacific longline fisheries. Marine Policy, 36: 933–946.</w:t>
      </w:r>
    </w:p>
    <w:p w14:paraId="0097906A" w14:textId="77777777"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 xml:space="preserve">Yurkowski, D. J., Auger-Méthé, M., Mallory, M. L., Wong, S. N. P., Gilchrist, G., Derocher, A. E., Richardson, E., </w:t>
      </w:r>
      <w:r w:rsidRPr="0013000F">
        <w:rPr>
          <w:rFonts w:ascii="Calibri" w:hAnsi="Calibri" w:cs="Calibri"/>
          <w:i/>
          <w:iCs/>
          <w:noProof/>
          <w:szCs w:val="24"/>
          <w:lang w:val="en-US"/>
        </w:rPr>
        <w:t>et al.</w:t>
      </w:r>
      <w:r w:rsidRPr="0013000F">
        <w:rPr>
          <w:rFonts w:ascii="Calibri" w:hAnsi="Calibri" w:cs="Calibri"/>
          <w:noProof/>
          <w:szCs w:val="24"/>
          <w:lang w:val="en-US"/>
        </w:rPr>
        <w:t xml:space="preserve"> 2019. Abundance and species diversity hotspots of tracked marine predators across the North American Arctic. Diversity and Distributions, 25: 328–345.</w:t>
      </w:r>
    </w:p>
    <w:p w14:paraId="518BEA07" w14:textId="6A586072" w:rsidR="000A7A51" w:rsidRPr="0013000F" w:rsidRDefault="000A7A51" w:rsidP="002A528E">
      <w:pPr>
        <w:widowControl w:val="0"/>
        <w:suppressLineNumbers/>
        <w:autoSpaceDE w:val="0"/>
        <w:autoSpaceDN w:val="0"/>
        <w:adjustRightInd w:val="0"/>
        <w:spacing w:line="240" w:lineRule="auto"/>
        <w:ind w:left="480" w:hanging="480"/>
        <w:jc w:val="both"/>
        <w:rPr>
          <w:rFonts w:ascii="Calibri" w:hAnsi="Calibri" w:cs="Calibri"/>
          <w:noProof/>
          <w:szCs w:val="24"/>
          <w:lang w:val="en-US"/>
        </w:rPr>
      </w:pPr>
      <w:r w:rsidRPr="0013000F">
        <w:rPr>
          <w:rFonts w:ascii="Calibri" w:hAnsi="Calibri" w:cs="Calibri"/>
          <w:noProof/>
          <w:szCs w:val="24"/>
          <w:lang w:val="en-US"/>
        </w:rPr>
        <w:t>Zhou, C., Jiao, Y., and Browder, J. 2019. How much do we know about seabird bycatch in pelagic longline fisheries? A simulation study on the potential bias caused by the usually unobserved portion of seabird bycatch. PLoS ONE, 14: e0220797.</w:t>
      </w:r>
    </w:p>
    <w:p w14:paraId="171A53E9" w14:textId="0A0DB3C1" w:rsidR="000D5121" w:rsidRPr="00A34CD9" w:rsidRDefault="000A7A51" w:rsidP="002A528E">
      <w:pPr>
        <w:widowControl w:val="0"/>
        <w:suppressLineNumbers/>
        <w:autoSpaceDE w:val="0"/>
        <w:autoSpaceDN w:val="0"/>
        <w:adjustRightInd w:val="0"/>
        <w:spacing w:line="240" w:lineRule="auto"/>
        <w:ind w:left="480" w:hanging="480"/>
        <w:jc w:val="both"/>
        <w:rPr>
          <w:rFonts w:eastAsia="Times New Roman" w:cstheme="minorHAnsi"/>
          <w:lang w:val="en-GB"/>
        </w:rPr>
        <w:sectPr w:rsidR="000D5121" w:rsidRPr="00A34CD9" w:rsidSect="0005668B">
          <w:pgSz w:w="11906" w:h="16838"/>
          <w:pgMar w:top="1440" w:right="1080" w:bottom="1440" w:left="1080" w:header="708" w:footer="708" w:gutter="0"/>
          <w:lnNumType w:countBy="1" w:restart="continuous"/>
          <w:cols w:space="720"/>
          <w:docGrid w:linePitch="299"/>
        </w:sectPr>
      </w:pPr>
      <w:r w:rsidRPr="0013000F">
        <w:rPr>
          <w:rFonts w:ascii="Calibri" w:hAnsi="Calibri" w:cs="Calibri"/>
          <w:noProof/>
          <w:szCs w:val="24"/>
          <w:lang w:val="en-US"/>
        </w:rPr>
        <w:t xml:space="preserve">Žydelis, R., Bellebaum, J., Österblom, H., Vetemaa, M., Schirmeister, B., Stipniece, A., Dagys, M., </w:t>
      </w:r>
      <w:r w:rsidRPr="0013000F">
        <w:rPr>
          <w:rFonts w:ascii="Calibri" w:hAnsi="Calibri" w:cs="Calibri"/>
          <w:i/>
          <w:iCs/>
          <w:noProof/>
          <w:szCs w:val="24"/>
          <w:lang w:val="en-US"/>
        </w:rPr>
        <w:t>et al.</w:t>
      </w:r>
      <w:r w:rsidRPr="0013000F">
        <w:rPr>
          <w:rFonts w:ascii="Calibri" w:hAnsi="Calibri" w:cs="Calibri"/>
          <w:noProof/>
          <w:szCs w:val="24"/>
          <w:lang w:val="en-US"/>
        </w:rPr>
        <w:t xml:space="preserve"> 2009</w:t>
      </w:r>
      <w:r w:rsidR="006A5ED0" w:rsidRPr="0013000F">
        <w:rPr>
          <w:rFonts w:ascii="Calibri" w:hAnsi="Calibri" w:cs="Calibri"/>
          <w:noProof/>
          <w:szCs w:val="24"/>
          <w:lang w:val="en-US"/>
        </w:rPr>
        <w:t>.</w:t>
      </w:r>
      <w:r w:rsidRPr="0013000F">
        <w:rPr>
          <w:rFonts w:ascii="Calibri" w:hAnsi="Calibri" w:cs="Calibri"/>
          <w:noProof/>
          <w:szCs w:val="24"/>
          <w:lang w:val="en-US"/>
        </w:rPr>
        <w:t xml:space="preserve"> </w:t>
      </w:r>
      <w:r w:rsidRPr="006A5ED0">
        <w:rPr>
          <w:rFonts w:ascii="Calibri" w:hAnsi="Calibri" w:cs="Calibri"/>
          <w:noProof/>
          <w:szCs w:val="24"/>
          <w:lang w:val="en-US"/>
        </w:rPr>
        <w:t>Bycatch in gillnet fisheries - An overlooked threat to waterbird populations.</w:t>
      </w:r>
      <w:r w:rsidR="006A5ED0">
        <w:rPr>
          <w:rFonts w:ascii="Calibri" w:hAnsi="Calibri" w:cs="Calibri"/>
          <w:noProof/>
          <w:szCs w:val="24"/>
          <w:lang w:val="en-US"/>
        </w:rPr>
        <w:t xml:space="preserve"> Biological Conservation, 142: 1269-1281.</w:t>
      </w:r>
      <w:r w:rsidR="003D2B90" w:rsidRPr="00A34CD9">
        <w:rPr>
          <w:rFonts w:ascii="Calibri Light" w:eastAsia="Times New Roman" w:hAnsi="Calibri Light" w:cs="Calibri Light"/>
          <w:b/>
          <w:szCs w:val="24"/>
          <w:lang w:val="en-GB"/>
        </w:rPr>
        <w:fldChar w:fldCharType="end"/>
      </w:r>
      <w:bookmarkEnd w:id="27"/>
    </w:p>
    <w:p w14:paraId="4BE8BE95" w14:textId="0BE55E75" w:rsidR="005818C6" w:rsidRPr="00A34CD9" w:rsidRDefault="005818C6" w:rsidP="005818C6">
      <w:pPr>
        <w:pStyle w:val="Ttulo1"/>
        <w:suppressLineNumbers/>
        <w:spacing w:line="360" w:lineRule="auto"/>
        <w:jc w:val="both"/>
        <w:rPr>
          <w:rFonts w:asciiTheme="minorHAnsi" w:hAnsiTheme="minorHAnsi" w:cstheme="minorHAnsi"/>
          <w:lang w:val="en-GB"/>
        </w:rPr>
      </w:pPr>
      <w:r>
        <w:rPr>
          <w:rFonts w:asciiTheme="minorHAnsi" w:hAnsiTheme="minorHAnsi" w:cstheme="minorHAnsi"/>
          <w:lang w:val="en-GB"/>
        </w:rPr>
        <w:lastRenderedPageBreak/>
        <w:t>FIGURES AND TABLES</w:t>
      </w:r>
    </w:p>
    <w:p w14:paraId="2AE91C20" w14:textId="77777777" w:rsidR="005818C6" w:rsidRDefault="005818C6" w:rsidP="002A528E">
      <w:pPr>
        <w:suppressLineNumbers/>
        <w:spacing w:line="276" w:lineRule="auto"/>
        <w:jc w:val="both"/>
        <w:rPr>
          <w:rFonts w:eastAsia="Times New Roman" w:cstheme="minorHAnsi"/>
          <w:b/>
          <w:bCs/>
          <w:lang w:val="en-GB"/>
        </w:rPr>
      </w:pPr>
    </w:p>
    <w:p w14:paraId="41BEA2E8" w14:textId="7895EE6F" w:rsidR="008303C9" w:rsidRPr="00A34CD9" w:rsidRDefault="000D5121" w:rsidP="002A528E">
      <w:pPr>
        <w:suppressLineNumbers/>
        <w:spacing w:line="276" w:lineRule="auto"/>
        <w:jc w:val="both"/>
        <w:rPr>
          <w:rFonts w:eastAsia="Times New Roman" w:cstheme="minorHAnsi"/>
          <w:lang w:val="en-GB"/>
        </w:rPr>
      </w:pPr>
      <w:r w:rsidRPr="00A34CD9">
        <w:rPr>
          <w:rFonts w:eastAsia="Times New Roman" w:cstheme="minorHAnsi"/>
          <w:b/>
          <w:bCs/>
          <w:lang w:val="en-GB"/>
        </w:rPr>
        <w:t xml:space="preserve">Table </w:t>
      </w:r>
      <w:r w:rsidR="00853608" w:rsidRPr="00A34CD9">
        <w:rPr>
          <w:rFonts w:eastAsia="Times New Roman" w:cstheme="minorHAnsi"/>
          <w:b/>
          <w:bCs/>
          <w:lang w:val="en-GB"/>
        </w:rPr>
        <w:t xml:space="preserve">1. </w:t>
      </w:r>
      <w:r w:rsidR="00853608" w:rsidRPr="00A34CD9">
        <w:rPr>
          <w:rFonts w:eastAsia="Times New Roman" w:cstheme="minorHAnsi"/>
          <w:lang w:val="en-GB"/>
        </w:rPr>
        <w:t>Scor</w:t>
      </w:r>
      <w:r w:rsidR="0059186A" w:rsidRPr="00A34CD9">
        <w:rPr>
          <w:rFonts w:eastAsia="Times New Roman" w:cstheme="minorHAnsi"/>
          <w:lang w:val="en-GB"/>
        </w:rPr>
        <w:t>ing threshold</w:t>
      </w:r>
      <w:r w:rsidR="009E134E" w:rsidRPr="00A34CD9">
        <w:rPr>
          <w:rFonts w:eastAsia="Times New Roman" w:cstheme="minorHAnsi"/>
          <w:lang w:val="en-GB"/>
        </w:rPr>
        <w:t>s</w:t>
      </w:r>
      <w:r w:rsidR="0059186A" w:rsidRPr="00A34CD9">
        <w:rPr>
          <w:rFonts w:eastAsia="Times New Roman" w:cstheme="minorHAnsi"/>
          <w:lang w:val="en-GB"/>
        </w:rPr>
        <w:t xml:space="preserve"> and criteria</w:t>
      </w:r>
      <w:r w:rsidR="009E134E" w:rsidRPr="00A34CD9">
        <w:rPr>
          <w:rFonts w:eastAsia="Times New Roman" w:cstheme="minorHAnsi"/>
          <w:lang w:val="en-GB"/>
        </w:rPr>
        <w:t xml:space="preserve"> used to calculate</w:t>
      </w:r>
      <w:r w:rsidR="00853608" w:rsidRPr="00A34CD9">
        <w:rPr>
          <w:rFonts w:eastAsia="Times New Roman" w:cstheme="minorHAnsi"/>
          <w:lang w:val="en-GB"/>
        </w:rPr>
        <w:t xml:space="preserve"> productivity</w:t>
      </w:r>
      <w:r w:rsidR="00D82430" w:rsidRPr="00A34CD9">
        <w:rPr>
          <w:rFonts w:eastAsia="Times New Roman" w:cstheme="minorHAnsi"/>
          <w:lang w:val="en-GB"/>
        </w:rPr>
        <w:t xml:space="preserve"> (</w:t>
      </w:r>
      <w:r w:rsidR="008D2E02" w:rsidRPr="00A34CD9">
        <w:rPr>
          <w:rFonts w:eastAsia="Times New Roman" w:cstheme="minorHAnsi"/>
          <w:lang w:val="en-GB"/>
        </w:rPr>
        <w:t xml:space="preserve">based on the </w:t>
      </w:r>
      <w:r w:rsidR="00D82430" w:rsidRPr="00A34CD9">
        <w:rPr>
          <w:rFonts w:eastAsia="Times New Roman" w:cstheme="minorHAnsi"/>
          <w:lang w:val="en-GB"/>
        </w:rPr>
        <w:t>Fecundity Factor Index</w:t>
      </w:r>
      <w:r w:rsidR="008D2E02" w:rsidRPr="00A34CD9">
        <w:rPr>
          <w:rFonts w:eastAsia="Times New Roman" w:cstheme="minorHAnsi"/>
          <w:lang w:val="en-GB"/>
        </w:rPr>
        <w:t xml:space="preserve"> from</w:t>
      </w:r>
      <w:r w:rsidR="009B7A63" w:rsidRPr="00A34CD9">
        <w:rPr>
          <w:rFonts w:eastAsia="Times New Roman" w:cstheme="minorHAnsi"/>
          <w:lang w:val="en-GB"/>
        </w:rPr>
        <w:t xml:space="preserve"> </w:t>
      </w:r>
      <w:r w:rsidR="009B7A63" w:rsidRPr="00A34CD9">
        <w:rPr>
          <w:rFonts w:eastAsia="Times New Roman" w:cstheme="minorHAnsi"/>
          <w:noProof/>
          <w:lang w:val="en-GB"/>
        </w:rPr>
        <w:t xml:space="preserve">Waugh </w:t>
      </w:r>
      <w:r w:rsidR="009B7A63" w:rsidRPr="00A34CD9">
        <w:rPr>
          <w:rFonts w:eastAsia="Times New Roman" w:cstheme="minorHAnsi"/>
          <w:i/>
          <w:noProof/>
          <w:lang w:val="en-GB"/>
        </w:rPr>
        <w:t>et al.</w:t>
      </w:r>
      <w:r w:rsidR="009B7A63" w:rsidRPr="00A34CD9">
        <w:rPr>
          <w:rFonts w:eastAsia="Times New Roman" w:cstheme="minorHAnsi"/>
          <w:noProof/>
          <w:lang w:val="en-GB"/>
        </w:rPr>
        <w:t>, 2012</w:t>
      </w:r>
      <w:r w:rsidR="00D82430" w:rsidRPr="00A34CD9">
        <w:rPr>
          <w:rFonts w:eastAsia="Times New Roman" w:cstheme="minorHAnsi"/>
          <w:lang w:val="en-GB"/>
        </w:rPr>
        <w:t>)</w:t>
      </w:r>
      <w:r w:rsidR="00853608" w:rsidRPr="00A34CD9">
        <w:rPr>
          <w:rFonts w:eastAsia="Times New Roman" w:cstheme="minorHAnsi"/>
          <w:lang w:val="en-GB"/>
        </w:rPr>
        <w:t xml:space="preserve"> and </w:t>
      </w:r>
      <w:r w:rsidR="00975162" w:rsidRPr="00A34CD9">
        <w:rPr>
          <w:rFonts w:eastAsia="Times New Roman" w:cstheme="minorHAnsi"/>
          <w:lang w:val="en-GB"/>
        </w:rPr>
        <w:t>susceptibility</w:t>
      </w:r>
      <w:r w:rsidR="00853608" w:rsidRPr="00A34CD9">
        <w:rPr>
          <w:rFonts w:eastAsia="Times New Roman" w:cstheme="minorHAnsi"/>
          <w:lang w:val="en-GB"/>
        </w:rPr>
        <w:t xml:space="preserve"> </w:t>
      </w:r>
      <w:r w:rsidR="009B7A63" w:rsidRPr="00A34CD9">
        <w:rPr>
          <w:rFonts w:eastAsia="Times New Roman" w:cstheme="minorHAnsi"/>
          <w:lang w:val="en-GB"/>
        </w:rPr>
        <w:t xml:space="preserve">(modified from </w:t>
      </w:r>
      <w:r w:rsidR="009B7A63" w:rsidRPr="00A34CD9">
        <w:rPr>
          <w:rFonts w:eastAsia="Times New Roman" w:cstheme="minorHAnsi"/>
          <w:noProof/>
          <w:lang w:val="en-GB"/>
        </w:rPr>
        <w:t xml:space="preserve">Brown </w:t>
      </w:r>
      <w:r w:rsidR="009B7A63" w:rsidRPr="00A34CD9">
        <w:rPr>
          <w:rFonts w:eastAsia="Times New Roman" w:cstheme="minorHAnsi"/>
          <w:i/>
          <w:noProof/>
          <w:lang w:val="en-GB"/>
        </w:rPr>
        <w:t>et al.</w:t>
      </w:r>
      <w:r w:rsidR="009B7A63" w:rsidRPr="00A34CD9">
        <w:rPr>
          <w:rFonts w:eastAsia="Times New Roman" w:cstheme="minorHAnsi"/>
          <w:noProof/>
          <w:lang w:val="en-GB"/>
        </w:rPr>
        <w:t xml:space="preserve">, 2015) </w:t>
      </w:r>
      <w:r w:rsidR="00853608" w:rsidRPr="00A34CD9">
        <w:rPr>
          <w:rFonts w:eastAsia="Times New Roman" w:cstheme="minorHAnsi"/>
          <w:lang w:val="en-GB"/>
        </w:rPr>
        <w:t>attributes</w:t>
      </w:r>
      <w:r w:rsidR="009B7A63" w:rsidRPr="00A34CD9">
        <w:rPr>
          <w:rFonts w:eastAsia="Times New Roman" w:cstheme="minorHAnsi"/>
          <w:lang w:val="en-GB"/>
        </w:rPr>
        <w:t>.</w:t>
      </w:r>
      <w:r w:rsidR="00587896" w:rsidRPr="00A34CD9">
        <w:rPr>
          <w:rFonts w:eastAsia="Times New Roman" w:cstheme="minorHAnsi"/>
          <w:lang w:val="en-GB"/>
        </w:rPr>
        <w:t xml:space="preserve"> </w:t>
      </w:r>
    </w:p>
    <w:tbl>
      <w:tblPr>
        <w:tblStyle w:val="Tablaconcuadrcula"/>
        <w:tblW w:w="13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2662"/>
        <w:gridCol w:w="3281"/>
        <w:gridCol w:w="3281"/>
        <w:gridCol w:w="3281"/>
      </w:tblGrid>
      <w:tr w:rsidR="006C701D" w:rsidRPr="00A34CD9" w14:paraId="649144A2" w14:textId="77777777" w:rsidTr="00B70D00">
        <w:trPr>
          <w:trHeight w:val="397"/>
        </w:trPr>
        <w:tc>
          <w:tcPr>
            <w:tcW w:w="1304" w:type="dxa"/>
            <w:tcBorders>
              <w:bottom w:val="single" w:sz="4" w:space="0" w:color="auto"/>
            </w:tcBorders>
            <w:vAlign w:val="center"/>
          </w:tcPr>
          <w:p w14:paraId="4B079EF0" w14:textId="77777777" w:rsidR="008303C9" w:rsidRPr="00A34CD9" w:rsidRDefault="008303C9" w:rsidP="002A528E">
            <w:pPr>
              <w:suppressLineNumbers/>
              <w:spacing w:after="0" w:line="240" w:lineRule="auto"/>
              <w:jc w:val="center"/>
              <w:rPr>
                <w:rFonts w:eastAsia="Times New Roman" w:cstheme="minorHAnsi"/>
                <w:sz w:val="20"/>
                <w:szCs w:val="20"/>
                <w:lang w:val="en-GB"/>
              </w:rPr>
            </w:pPr>
          </w:p>
        </w:tc>
        <w:tc>
          <w:tcPr>
            <w:tcW w:w="2665" w:type="dxa"/>
            <w:tcBorders>
              <w:top w:val="single" w:sz="4" w:space="0" w:color="auto"/>
              <w:bottom w:val="single" w:sz="4" w:space="0" w:color="auto"/>
            </w:tcBorders>
            <w:vAlign w:val="center"/>
          </w:tcPr>
          <w:p w14:paraId="7E694017" w14:textId="7A9DF1CB" w:rsidR="008303C9" w:rsidRPr="00A34CD9" w:rsidRDefault="008303C9"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Attribute</w:t>
            </w:r>
          </w:p>
        </w:tc>
        <w:tc>
          <w:tcPr>
            <w:tcW w:w="3288" w:type="dxa"/>
            <w:tcBorders>
              <w:top w:val="single" w:sz="4" w:space="0" w:color="auto"/>
              <w:bottom w:val="single" w:sz="4" w:space="0" w:color="auto"/>
            </w:tcBorders>
            <w:vAlign w:val="center"/>
          </w:tcPr>
          <w:p w14:paraId="26CCA991" w14:textId="5CA0D07D" w:rsidR="008303C9" w:rsidRPr="00A34CD9" w:rsidRDefault="001D1FB5"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High risk (Score</w:t>
            </w:r>
            <w:r w:rsidR="003C52B9" w:rsidRPr="00A34CD9">
              <w:rPr>
                <w:rFonts w:eastAsia="Times New Roman" w:cstheme="minorHAnsi"/>
                <w:b/>
                <w:bCs/>
                <w:sz w:val="20"/>
                <w:szCs w:val="20"/>
                <w:lang w:val="en-GB"/>
              </w:rPr>
              <w:t xml:space="preserve"> =</w:t>
            </w:r>
            <w:r w:rsidRPr="00A34CD9">
              <w:rPr>
                <w:rFonts w:eastAsia="Times New Roman" w:cstheme="minorHAnsi"/>
                <w:b/>
                <w:bCs/>
                <w:sz w:val="20"/>
                <w:szCs w:val="20"/>
                <w:lang w:val="en-GB"/>
              </w:rPr>
              <w:t xml:space="preserve"> 3)</w:t>
            </w:r>
          </w:p>
        </w:tc>
        <w:tc>
          <w:tcPr>
            <w:tcW w:w="3288" w:type="dxa"/>
            <w:tcBorders>
              <w:top w:val="single" w:sz="4" w:space="0" w:color="auto"/>
              <w:bottom w:val="single" w:sz="4" w:space="0" w:color="auto"/>
            </w:tcBorders>
            <w:vAlign w:val="center"/>
          </w:tcPr>
          <w:p w14:paraId="1491F938" w14:textId="339854BB" w:rsidR="008303C9" w:rsidRPr="00A34CD9" w:rsidRDefault="003C52B9"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Moderate risk (Score = 2)</w:t>
            </w:r>
          </w:p>
        </w:tc>
        <w:tc>
          <w:tcPr>
            <w:tcW w:w="3288" w:type="dxa"/>
            <w:tcBorders>
              <w:top w:val="single" w:sz="4" w:space="0" w:color="auto"/>
              <w:bottom w:val="single" w:sz="4" w:space="0" w:color="auto"/>
            </w:tcBorders>
            <w:vAlign w:val="center"/>
          </w:tcPr>
          <w:p w14:paraId="3F128F25" w14:textId="70465B48" w:rsidR="008303C9" w:rsidRPr="00A34CD9" w:rsidRDefault="003C52B9"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Low risk (Score = 1)</w:t>
            </w:r>
          </w:p>
        </w:tc>
      </w:tr>
      <w:tr w:rsidR="006C701D" w:rsidRPr="000112E2" w14:paraId="4F891974" w14:textId="77777777" w:rsidTr="00B70D00">
        <w:trPr>
          <w:trHeight w:val="397"/>
        </w:trPr>
        <w:tc>
          <w:tcPr>
            <w:tcW w:w="1304" w:type="dxa"/>
            <w:vMerge w:val="restart"/>
            <w:tcBorders>
              <w:top w:val="single" w:sz="4" w:space="0" w:color="auto"/>
            </w:tcBorders>
            <w:vAlign w:val="center"/>
          </w:tcPr>
          <w:p w14:paraId="1290FA5F" w14:textId="62F0AA78" w:rsidR="008D2E02" w:rsidRPr="00A34CD9" w:rsidRDefault="003C52B9"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Productivity</w:t>
            </w:r>
          </w:p>
        </w:tc>
        <w:tc>
          <w:tcPr>
            <w:tcW w:w="2665" w:type="dxa"/>
            <w:tcBorders>
              <w:top w:val="single" w:sz="4" w:space="0" w:color="auto"/>
            </w:tcBorders>
            <w:vAlign w:val="center"/>
          </w:tcPr>
          <w:p w14:paraId="5EE1C1FC" w14:textId="17C9F630" w:rsidR="003C52B9" w:rsidRPr="00A34CD9" w:rsidRDefault="00D2304D"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Life-history strategy</w:t>
            </w:r>
          </w:p>
        </w:tc>
        <w:tc>
          <w:tcPr>
            <w:tcW w:w="3288" w:type="dxa"/>
            <w:tcBorders>
              <w:top w:val="single" w:sz="4" w:space="0" w:color="auto"/>
            </w:tcBorders>
            <w:vAlign w:val="center"/>
          </w:tcPr>
          <w:p w14:paraId="15DBD896" w14:textId="5B537FD3" w:rsidR="003C52B9" w:rsidRPr="00A34CD9" w:rsidRDefault="00237E98"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Biennial breeding, multiple-egg clutches</w:t>
            </w:r>
          </w:p>
        </w:tc>
        <w:tc>
          <w:tcPr>
            <w:tcW w:w="3288" w:type="dxa"/>
            <w:tcBorders>
              <w:top w:val="single" w:sz="4" w:space="0" w:color="auto"/>
            </w:tcBorders>
            <w:vAlign w:val="center"/>
          </w:tcPr>
          <w:p w14:paraId="2E10A585" w14:textId="2BD22D21" w:rsidR="003C52B9" w:rsidRPr="00A34CD9" w:rsidRDefault="00237E98"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Annual breeding, single-egg clutches</w:t>
            </w:r>
          </w:p>
        </w:tc>
        <w:tc>
          <w:tcPr>
            <w:tcW w:w="3288" w:type="dxa"/>
            <w:tcBorders>
              <w:top w:val="single" w:sz="4" w:space="0" w:color="auto"/>
            </w:tcBorders>
            <w:vAlign w:val="center"/>
          </w:tcPr>
          <w:p w14:paraId="4FAAAD8A" w14:textId="1A1372AB" w:rsidR="003C52B9" w:rsidRPr="00A34CD9" w:rsidRDefault="00965FB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Annual breeding, multiple-egg clutches</w:t>
            </w:r>
          </w:p>
        </w:tc>
      </w:tr>
      <w:tr w:rsidR="006C701D" w:rsidRPr="00A34CD9" w14:paraId="7B05B601" w14:textId="77777777" w:rsidTr="00D15DC0">
        <w:trPr>
          <w:trHeight w:val="397"/>
        </w:trPr>
        <w:tc>
          <w:tcPr>
            <w:tcW w:w="1304" w:type="dxa"/>
            <w:vMerge/>
            <w:tcBorders>
              <w:bottom w:val="single" w:sz="4" w:space="0" w:color="auto"/>
            </w:tcBorders>
            <w:vAlign w:val="center"/>
          </w:tcPr>
          <w:p w14:paraId="15C8583B" w14:textId="77777777" w:rsidR="003C52B9" w:rsidRPr="00A34CD9" w:rsidRDefault="003C52B9" w:rsidP="002A528E">
            <w:pPr>
              <w:suppressLineNumbers/>
              <w:spacing w:after="0" w:line="240" w:lineRule="auto"/>
              <w:rPr>
                <w:rFonts w:eastAsia="Times New Roman" w:cstheme="minorHAnsi"/>
                <w:sz w:val="20"/>
                <w:szCs w:val="20"/>
                <w:lang w:val="en-GB"/>
              </w:rPr>
            </w:pPr>
          </w:p>
        </w:tc>
        <w:tc>
          <w:tcPr>
            <w:tcW w:w="2665" w:type="dxa"/>
            <w:tcBorders>
              <w:bottom w:val="single" w:sz="4" w:space="0" w:color="auto"/>
            </w:tcBorders>
            <w:vAlign w:val="center"/>
          </w:tcPr>
          <w:p w14:paraId="41ED89F4" w14:textId="2744D75E" w:rsidR="003C52B9" w:rsidRPr="00A34CD9" w:rsidRDefault="00965FB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Median age at first breeding</w:t>
            </w:r>
          </w:p>
        </w:tc>
        <w:tc>
          <w:tcPr>
            <w:tcW w:w="3288" w:type="dxa"/>
            <w:tcBorders>
              <w:bottom w:val="single" w:sz="4" w:space="0" w:color="auto"/>
            </w:tcBorders>
            <w:vAlign w:val="center"/>
          </w:tcPr>
          <w:p w14:paraId="50D22A29" w14:textId="26438EDF" w:rsidR="003C52B9" w:rsidRPr="00A34CD9" w:rsidRDefault="00AE1B2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≥7.5 years</w:t>
            </w:r>
          </w:p>
        </w:tc>
        <w:tc>
          <w:tcPr>
            <w:tcW w:w="3288" w:type="dxa"/>
            <w:tcBorders>
              <w:bottom w:val="single" w:sz="4" w:space="0" w:color="auto"/>
            </w:tcBorders>
            <w:vAlign w:val="center"/>
          </w:tcPr>
          <w:p w14:paraId="29A83C8A" w14:textId="09E55036" w:rsidR="003C52B9" w:rsidRPr="00A34CD9" w:rsidRDefault="00AE1B2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1.5-7</w:t>
            </w:r>
            <w:r w:rsidR="005B0E9F" w:rsidRPr="00A34CD9">
              <w:rPr>
                <w:rFonts w:eastAsia="Times New Roman" w:cstheme="minorHAnsi"/>
                <w:sz w:val="20"/>
                <w:szCs w:val="20"/>
                <w:lang w:val="en-GB"/>
              </w:rPr>
              <w:t>.</w:t>
            </w:r>
            <w:r w:rsidRPr="00A34CD9">
              <w:rPr>
                <w:rFonts w:eastAsia="Times New Roman" w:cstheme="minorHAnsi"/>
                <w:sz w:val="20"/>
                <w:szCs w:val="20"/>
                <w:lang w:val="en-GB"/>
              </w:rPr>
              <w:t>5 years</w:t>
            </w:r>
          </w:p>
        </w:tc>
        <w:tc>
          <w:tcPr>
            <w:tcW w:w="3288" w:type="dxa"/>
            <w:tcBorders>
              <w:bottom w:val="single" w:sz="4" w:space="0" w:color="auto"/>
            </w:tcBorders>
            <w:vAlign w:val="center"/>
          </w:tcPr>
          <w:p w14:paraId="36274536" w14:textId="5217B7CD" w:rsidR="003C52B9" w:rsidRPr="00A34CD9" w:rsidRDefault="00AE1B2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&lt;5</w:t>
            </w:r>
            <w:r w:rsidR="00712B1A" w:rsidRPr="00A34CD9">
              <w:rPr>
                <w:rFonts w:eastAsia="Times New Roman" w:cstheme="minorHAnsi"/>
                <w:sz w:val="20"/>
                <w:szCs w:val="20"/>
                <w:lang w:val="en-GB"/>
              </w:rPr>
              <w:t xml:space="preserve"> </w:t>
            </w:r>
            <w:r w:rsidRPr="00A34CD9">
              <w:rPr>
                <w:rFonts w:eastAsia="Times New Roman" w:cstheme="minorHAnsi"/>
                <w:sz w:val="20"/>
                <w:szCs w:val="20"/>
                <w:lang w:val="en-GB"/>
              </w:rPr>
              <w:t>years</w:t>
            </w:r>
          </w:p>
        </w:tc>
      </w:tr>
      <w:tr w:rsidR="006C701D" w:rsidRPr="000112E2" w14:paraId="40D641CA" w14:textId="77777777" w:rsidTr="00455DD3">
        <w:trPr>
          <w:trHeight w:val="397"/>
        </w:trPr>
        <w:tc>
          <w:tcPr>
            <w:tcW w:w="1304" w:type="dxa"/>
            <w:vMerge w:val="restart"/>
            <w:tcBorders>
              <w:top w:val="single" w:sz="4" w:space="0" w:color="auto"/>
            </w:tcBorders>
            <w:vAlign w:val="center"/>
          </w:tcPr>
          <w:p w14:paraId="0B4BD3EC" w14:textId="2932D804" w:rsidR="006F2ADD" w:rsidRPr="00A34CD9" w:rsidRDefault="006F2ADD" w:rsidP="002A528E">
            <w:pPr>
              <w:suppressLineNumbers/>
              <w:spacing w:after="0" w:line="240" w:lineRule="auto"/>
              <w:rPr>
                <w:rFonts w:eastAsia="Times New Roman" w:cstheme="minorHAnsi"/>
                <w:b/>
                <w:bCs/>
                <w:sz w:val="20"/>
                <w:szCs w:val="20"/>
                <w:lang w:val="en-GB"/>
              </w:rPr>
            </w:pPr>
            <w:r w:rsidRPr="00A34CD9">
              <w:rPr>
                <w:rFonts w:eastAsia="Times New Roman" w:cstheme="minorHAnsi"/>
                <w:b/>
                <w:bCs/>
                <w:sz w:val="20"/>
                <w:szCs w:val="20"/>
                <w:lang w:val="en-GB"/>
              </w:rPr>
              <w:t>Susceptibility</w:t>
            </w:r>
          </w:p>
        </w:tc>
        <w:tc>
          <w:tcPr>
            <w:tcW w:w="2665" w:type="dxa"/>
            <w:tcBorders>
              <w:top w:val="single" w:sz="4" w:space="0" w:color="auto"/>
            </w:tcBorders>
            <w:vAlign w:val="center"/>
          </w:tcPr>
          <w:p w14:paraId="770DAF84" w14:textId="15B0EA5E" w:rsidR="006F2ADD" w:rsidRPr="00A34CD9" w:rsidRDefault="006F2ADD"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Availability</w:t>
            </w:r>
          </w:p>
        </w:tc>
        <w:tc>
          <w:tcPr>
            <w:tcW w:w="3288" w:type="dxa"/>
            <w:tcBorders>
              <w:top w:val="single" w:sz="4" w:space="0" w:color="auto"/>
            </w:tcBorders>
            <w:vAlign w:val="center"/>
          </w:tcPr>
          <w:p w14:paraId="6313504A" w14:textId="60ACEA46" w:rsidR="006F2ADD" w:rsidRPr="00A34CD9" w:rsidRDefault="00986F2C"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&gt;30% overlap between fishing activity</w:t>
            </w:r>
            <w:r w:rsidR="00151E33" w:rsidRPr="00A34CD9">
              <w:rPr>
                <w:rFonts w:eastAsia="Times New Roman" w:cstheme="minorHAnsi"/>
                <w:sz w:val="20"/>
                <w:szCs w:val="20"/>
                <w:lang w:val="en-GB"/>
              </w:rPr>
              <w:t xml:space="preserve"> and species critical area distribution</w:t>
            </w:r>
          </w:p>
        </w:tc>
        <w:tc>
          <w:tcPr>
            <w:tcW w:w="3288" w:type="dxa"/>
            <w:tcBorders>
              <w:top w:val="single" w:sz="4" w:space="0" w:color="auto"/>
            </w:tcBorders>
            <w:vAlign w:val="center"/>
          </w:tcPr>
          <w:p w14:paraId="76FC121A" w14:textId="5326D0FA" w:rsidR="006F2ADD" w:rsidRPr="00A34CD9" w:rsidRDefault="00151E33"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10-30% overlap between fishing activity and species critical area distribution</w:t>
            </w:r>
          </w:p>
        </w:tc>
        <w:tc>
          <w:tcPr>
            <w:tcW w:w="3288" w:type="dxa"/>
            <w:tcBorders>
              <w:top w:val="single" w:sz="4" w:space="0" w:color="auto"/>
            </w:tcBorders>
            <w:vAlign w:val="center"/>
          </w:tcPr>
          <w:p w14:paraId="3F4F6CE0" w14:textId="5CFB3420" w:rsidR="006F2ADD" w:rsidRPr="00A34CD9" w:rsidRDefault="00151E33"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&lt;10% overlap between fishing activity and species critical area distribution</w:t>
            </w:r>
          </w:p>
        </w:tc>
      </w:tr>
      <w:tr w:rsidR="006C701D" w:rsidRPr="000112E2" w14:paraId="72DA55BB" w14:textId="77777777" w:rsidTr="00455DD3">
        <w:trPr>
          <w:trHeight w:val="397"/>
        </w:trPr>
        <w:tc>
          <w:tcPr>
            <w:tcW w:w="1304" w:type="dxa"/>
            <w:vMerge/>
            <w:vAlign w:val="center"/>
          </w:tcPr>
          <w:p w14:paraId="4B5335FF" w14:textId="77777777" w:rsidR="006F2ADD" w:rsidRPr="00A34CD9" w:rsidRDefault="006F2ADD" w:rsidP="002A528E">
            <w:pPr>
              <w:suppressLineNumbers/>
              <w:spacing w:after="0" w:line="240" w:lineRule="auto"/>
              <w:jc w:val="center"/>
              <w:rPr>
                <w:rFonts w:eastAsia="Times New Roman" w:cstheme="minorHAnsi"/>
                <w:sz w:val="20"/>
                <w:szCs w:val="20"/>
                <w:lang w:val="en-GB"/>
              </w:rPr>
            </w:pPr>
          </w:p>
        </w:tc>
        <w:tc>
          <w:tcPr>
            <w:tcW w:w="2665" w:type="dxa"/>
            <w:vAlign w:val="center"/>
          </w:tcPr>
          <w:p w14:paraId="524B561F" w14:textId="7A38D738" w:rsidR="006F2ADD" w:rsidRPr="00A34CD9" w:rsidRDefault="006F2ADD" w:rsidP="002A528E">
            <w:pPr>
              <w:suppressLineNumbers/>
              <w:spacing w:after="0" w:line="240" w:lineRule="auto"/>
              <w:rPr>
                <w:rFonts w:eastAsia="Times New Roman" w:cstheme="minorHAnsi"/>
                <w:sz w:val="20"/>
                <w:szCs w:val="20"/>
                <w:lang w:val="en-GB"/>
              </w:rPr>
            </w:pPr>
            <w:proofErr w:type="spellStart"/>
            <w:r w:rsidRPr="00A34CD9">
              <w:rPr>
                <w:rFonts w:eastAsia="Times New Roman" w:cstheme="minorHAnsi"/>
                <w:sz w:val="20"/>
                <w:szCs w:val="20"/>
                <w:lang w:val="en-GB"/>
              </w:rPr>
              <w:t>Encounterability</w:t>
            </w:r>
            <w:proofErr w:type="spellEnd"/>
          </w:p>
        </w:tc>
        <w:tc>
          <w:tcPr>
            <w:tcW w:w="3288" w:type="dxa"/>
            <w:vAlign w:val="center"/>
          </w:tcPr>
          <w:p w14:paraId="2F33BEFA" w14:textId="2C0D487B" w:rsidR="006F2ADD" w:rsidRPr="00A34CD9" w:rsidRDefault="00712B1A"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 xml:space="preserve">High </w:t>
            </w:r>
            <w:r w:rsidR="006D4586" w:rsidRPr="00A34CD9">
              <w:rPr>
                <w:rFonts w:eastAsia="Times New Roman" w:cstheme="minorHAnsi"/>
                <w:sz w:val="20"/>
                <w:szCs w:val="20"/>
                <w:lang w:val="en-GB"/>
              </w:rPr>
              <w:t>overlap with fishing gear</w:t>
            </w:r>
          </w:p>
        </w:tc>
        <w:tc>
          <w:tcPr>
            <w:tcW w:w="3288" w:type="dxa"/>
            <w:vAlign w:val="center"/>
          </w:tcPr>
          <w:p w14:paraId="6F323CE2" w14:textId="04CC9353" w:rsidR="006F2ADD" w:rsidRPr="00A34CD9" w:rsidRDefault="00712B1A"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 xml:space="preserve">Medium </w:t>
            </w:r>
            <w:r w:rsidR="006D4586" w:rsidRPr="00A34CD9">
              <w:rPr>
                <w:rFonts w:eastAsia="Times New Roman" w:cstheme="minorHAnsi"/>
                <w:sz w:val="20"/>
                <w:szCs w:val="20"/>
                <w:lang w:val="en-GB"/>
              </w:rPr>
              <w:t>overlap with fishing gear</w:t>
            </w:r>
          </w:p>
        </w:tc>
        <w:tc>
          <w:tcPr>
            <w:tcW w:w="3288" w:type="dxa"/>
            <w:vAlign w:val="center"/>
          </w:tcPr>
          <w:p w14:paraId="75568F8D" w14:textId="2477330D" w:rsidR="006F2ADD" w:rsidRPr="00A34CD9" w:rsidRDefault="00712B1A"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 xml:space="preserve">Low </w:t>
            </w:r>
            <w:r w:rsidR="006D4586" w:rsidRPr="00A34CD9">
              <w:rPr>
                <w:rFonts w:eastAsia="Times New Roman" w:cstheme="minorHAnsi"/>
                <w:sz w:val="20"/>
                <w:szCs w:val="20"/>
                <w:lang w:val="en-GB"/>
              </w:rPr>
              <w:t>overlap with fishing gear</w:t>
            </w:r>
          </w:p>
        </w:tc>
      </w:tr>
      <w:tr w:rsidR="006C701D" w:rsidRPr="000112E2" w14:paraId="78298DCB" w14:textId="77777777" w:rsidTr="00455DD3">
        <w:trPr>
          <w:trHeight w:val="397"/>
        </w:trPr>
        <w:tc>
          <w:tcPr>
            <w:tcW w:w="1304" w:type="dxa"/>
            <w:vMerge/>
            <w:vAlign w:val="center"/>
          </w:tcPr>
          <w:p w14:paraId="40A1EEF7" w14:textId="77777777" w:rsidR="006F2ADD" w:rsidRPr="00A34CD9" w:rsidRDefault="006F2ADD" w:rsidP="002A528E">
            <w:pPr>
              <w:suppressLineNumbers/>
              <w:spacing w:after="0" w:line="240" w:lineRule="auto"/>
              <w:jc w:val="center"/>
              <w:rPr>
                <w:rFonts w:eastAsia="Times New Roman" w:cstheme="minorHAnsi"/>
                <w:sz w:val="20"/>
                <w:szCs w:val="20"/>
                <w:lang w:val="en-GB"/>
              </w:rPr>
            </w:pPr>
          </w:p>
        </w:tc>
        <w:tc>
          <w:tcPr>
            <w:tcW w:w="2665" w:type="dxa"/>
            <w:vAlign w:val="center"/>
          </w:tcPr>
          <w:p w14:paraId="1F595A64" w14:textId="7D6EEBAE" w:rsidR="006F2ADD" w:rsidRPr="00A34CD9" w:rsidRDefault="006F2ADD"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Exposure</w:t>
            </w:r>
          </w:p>
        </w:tc>
        <w:tc>
          <w:tcPr>
            <w:tcW w:w="3288" w:type="dxa"/>
            <w:vAlign w:val="center"/>
          </w:tcPr>
          <w:p w14:paraId="41ED6DF1" w14:textId="78067938" w:rsidR="006F2ADD" w:rsidRPr="00A34CD9" w:rsidRDefault="00D928A8"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&gt;1</w:t>
            </w:r>
            <w:r w:rsidR="00F77873" w:rsidRPr="00A34CD9">
              <w:rPr>
                <w:rFonts w:eastAsia="Times New Roman" w:cstheme="minorHAnsi"/>
                <w:sz w:val="20"/>
                <w:szCs w:val="20"/>
                <w:lang w:val="en-GB"/>
              </w:rPr>
              <w:t xml:space="preserve"> (exposure in cell 10 times</w:t>
            </w:r>
            <w:r w:rsidR="00EF49EE" w:rsidRPr="00A34CD9">
              <w:rPr>
                <w:rFonts w:eastAsia="Times New Roman" w:cstheme="minorHAnsi"/>
                <w:sz w:val="20"/>
                <w:szCs w:val="20"/>
                <w:lang w:val="en-GB"/>
              </w:rPr>
              <w:t xml:space="preserve"> mean exposure or more based on species population and fishing activity)</w:t>
            </w:r>
          </w:p>
        </w:tc>
        <w:tc>
          <w:tcPr>
            <w:tcW w:w="3288" w:type="dxa"/>
            <w:vAlign w:val="center"/>
          </w:tcPr>
          <w:p w14:paraId="4C9F988E" w14:textId="1661337C" w:rsidR="006F2ADD" w:rsidRPr="00A34CD9" w:rsidRDefault="00D928A8"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0</w:t>
            </w:r>
            <w:r w:rsidR="00EF49EE" w:rsidRPr="00A34CD9">
              <w:rPr>
                <w:rFonts w:eastAsia="Times New Roman" w:cstheme="minorHAnsi"/>
                <w:sz w:val="20"/>
                <w:szCs w:val="20"/>
                <w:lang w:val="en-GB"/>
              </w:rPr>
              <w:t xml:space="preserve"> (exposure equally mean exposure)</w:t>
            </w:r>
          </w:p>
        </w:tc>
        <w:tc>
          <w:tcPr>
            <w:tcW w:w="3288" w:type="dxa"/>
            <w:vAlign w:val="center"/>
          </w:tcPr>
          <w:p w14:paraId="21AC6FE8" w14:textId="29449806" w:rsidR="006F2ADD" w:rsidRPr="00A34CD9" w:rsidRDefault="00D928A8"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&lt;</w:t>
            </w:r>
            <w:r w:rsidR="00EF49EE" w:rsidRPr="00A34CD9">
              <w:rPr>
                <w:rFonts w:eastAsia="Times New Roman" w:cstheme="minorHAnsi"/>
                <w:sz w:val="20"/>
                <w:szCs w:val="20"/>
                <w:lang w:val="en-GB"/>
              </w:rPr>
              <w:t xml:space="preserve"> </w:t>
            </w:r>
            <w:r w:rsidRPr="00A34CD9">
              <w:rPr>
                <w:rFonts w:eastAsia="Times New Roman" w:cstheme="minorHAnsi"/>
                <w:sz w:val="20"/>
                <w:szCs w:val="20"/>
                <w:lang w:val="en-GB"/>
              </w:rPr>
              <w:t>-1</w:t>
            </w:r>
            <w:r w:rsidR="00EF49EE" w:rsidRPr="00A34CD9">
              <w:rPr>
                <w:rFonts w:eastAsia="Times New Roman" w:cstheme="minorHAnsi"/>
                <w:sz w:val="20"/>
                <w:szCs w:val="20"/>
                <w:lang w:val="en-GB"/>
              </w:rPr>
              <w:t xml:space="preserve"> (exposure in cell </w:t>
            </w:r>
            <w:r w:rsidR="00D15DC0" w:rsidRPr="00A34CD9">
              <w:rPr>
                <w:rFonts w:eastAsia="Times New Roman" w:cstheme="minorHAnsi"/>
                <w:sz w:val="20"/>
                <w:szCs w:val="20"/>
                <w:lang w:val="en-GB"/>
              </w:rPr>
              <w:t>less than on tenth of mean exposure</w:t>
            </w:r>
            <w:r w:rsidR="00EF49EE" w:rsidRPr="00A34CD9">
              <w:rPr>
                <w:rFonts w:eastAsia="Times New Roman" w:cstheme="minorHAnsi"/>
                <w:sz w:val="20"/>
                <w:szCs w:val="20"/>
                <w:lang w:val="en-GB"/>
              </w:rPr>
              <w:t>)</w:t>
            </w:r>
          </w:p>
        </w:tc>
      </w:tr>
      <w:tr w:rsidR="006C701D" w:rsidRPr="00A34CD9" w14:paraId="4D42D3B9" w14:textId="77777777" w:rsidTr="00455DD3">
        <w:trPr>
          <w:trHeight w:val="397"/>
        </w:trPr>
        <w:tc>
          <w:tcPr>
            <w:tcW w:w="1304" w:type="dxa"/>
            <w:vMerge/>
            <w:vAlign w:val="center"/>
          </w:tcPr>
          <w:p w14:paraId="180353A8" w14:textId="77777777" w:rsidR="006F2ADD" w:rsidRPr="00A34CD9" w:rsidRDefault="006F2ADD" w:rsidP="002A528E">
            <w:pPr>
              <w:suppressLineNumbers/>
              <w:spacing w:after="0" w:line="240" w:lineRule="auto"/>
              <w:jc w:val="center"/>
              <w:rPr>
                <w:rFonts w:eastAsia="Times New Roman" w:cstheme="minorHAnsi"/>
                <w:sz w:val="20"/>
                <w:szCs w:val="20"/>
                <w:lang w:val="en-GB"/>
              </w:rPr>
            </w:pPr>
          </w:p>
        </w:tc>
        <w:tc>
          <w:tcPr>
            <w:tcW w:w="2665" w:type="dxa"/>
            <w:vAlign w:val="center"/>
          </w:tcPr>
          <w:p w14:paraId="52AD1FA2" w14:textId="6BA1229A" w:rsidR="006F2ADD" w:rsidRPr="00A34CD9" w:rsidRDefault="006F2ADD"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S</w:t>
            </w:r>
            <w:r w:rsidR="00BC3F16" w:rsidRPr="00A34CD9">
              <w:rPr>
                <w:rFonts w:eastAsia="Times New Roman" w:cstheme="minorHAnsi"/>
                <w:sz w:val="20"/>
                <w:szCs w:val="20"/>
                <w:lang w:val="en-GB"/>
              </w:rPr>
              <w:t>electivity</w:t>
            </w:r>
          </w:p>
        </w:tc>
        <w:tc>
          <w:tcPr>
            <w:tcW w:w="3288" w:type="dxa"/>
            <w:vAlign w:val="center"/>
          </w:tcPr>
          <w:p w14:paraId="56A36E41" w14:textId="5809E3A2" w:rsidR="006F2ADD" w:rsidRPr="00A34CD9" w:rsidRDefault="00BC3F16"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 xml:space="preserve">High potential for capture </w:t>
            </w:r>
          </w:p>
        </w:tc>
        <w:tc>
          <w:tcPr>
            <w:tcW w:w="3288" w:type="dxa"/>
            <w:vAlign w:val="center"/>
          </w:tcPr>
          <w:p w14:paraId="56C99CBD" w14:textId="34349E8B" w:rsidR="006F2ADD" w:rsidRPr="00A34CD9" w:rsidRDefault="0075478E"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Moderate potential for capture</w:t>
            </w:r>
          </w:p>
        </w:tc>
        <w:tc>
          <w:tcPr>
            <w:tcW w:w="3288" w:type="dxa"/>
            <w:vAlign w:val="center"/>
          </w:tcPr>
          <w:p w14:paraId="0F8ED26F" w14:textId="1DBDED47" w:rsidR="006F2ADD" w:rsidRPr="00A34CD9" w:rsidRDefault="0075478E"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Low potential for capture</w:t>
            </w:r>
          </w:p>
        </w:tc>
      </w:tr>
      <w:tr w:rsidR="006C701D" w:rsidRPr="000112E2" w14:paraId="17301C9B" w14:textId="77777777" w:rsidTr="00455DD3">
        <w:trPr>
          <w:trHeight w:val="397"/>
        </w:trPr>
        <w:tc>
          <w:tcPr>
            <w:tcW w:w="1304" w:type="dxa"/>
            <w:vMerge/>
            <w:tcBorders>
              <w:bottom w:val="single" w:sz="4" w:space="0" w:color="auto"/>
            </w:tcBorders>
            <w:vAlign w:val="center"/>
          </w:tcPr>
          <w:p w14:paraId="260B883B" w14:textId="77777777" w:rsidR="00A438A9" w:rsidRPr="00A34CD9" w:rsidRDefault="00A438A9" w:rsidP="002A528E">
            <w:pPr>
              <w:suppressLineNumbers/>
              <w:spacing w:after="0" w:line="240" w:lineRule="auto"/>
              <w:jc w:val="center"/>
              <w:rPr>
                <w:rFonts w:eastAsia="Times New Roman" w:cstheme="minorHAnsi"/>
                <w:sz w:val="20"/>
                <w:szCs w:val="20"/>
                <w:lang w:val="en-GB"/>
              </w:rPr>
            </w:pPr>
          </w:p>
        </w:tc>
        <w:tc>
          <w:tcPr>
            <w:tcW w:w="2665" w:type="dxa"/>
            <w:tcBorders>
              <w:bottom w:val="single" w:sz="4" w:space="0" w:color="auto"/>
            </w:tcBorders>
            <w:vAlign w:val="center"/>
          </w:tcPr>
          <w:p w14:paraId="237615AE" w14:textId="6FED7B9C" w:rsidR="00A438A9" w:rsidRPr="00A34CD9" w:rsidRDefault="00A438A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Potential for lethal encounter</w:t>
            </w:r>
          </w:p>
        </w:tc>
        <w:tc>
          <w:tcPr>
            <w:tcW w:w="3288" w:type="dxa"/>
            <w:tcBorders>
              <w:bottom w:val="single" w:sz="4" w:space="0" w:color="auto"/>
            </w:tcBorders>
            <w:vAlign w:val="center"/>
          </w:tcPr>
          <w:p w14:paraId="042A6A50" w14:textId="4F637B69" w:rsidR="00A438A9" w:rsidRPr="00A34CD9" w:rsidRDefault="00A438A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Interaction with gear likely to result in death</w:t>
            </w:r>
          </w:p>
        </w:tc>
        <w:tc>
          <w:tcPr>
            <w:tcW w:w="3288" w:type="dxa"/>
            <w:tcBorders>
              <w:bottom w:val="single" w:sz="4" w:space="0" w:color="auto"/>
            </w:tcBorders>
            <w:vAlign w:val="center"/>
          </w:tcPr>
          <w:p w14:paraId="6A3D3815" w14:textId="29935E43" w:rsidR="00A438A9" w:rsidRPr="00A34CD9" w:rsidRDefault="00A438A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Interaction with gear likely to result in injury</w:t>
            </w:r>
          </w:p>
        </w:tc>
        <w:tc>
          <w:tcPr>
            <w:tcW w:w="3288" w:type="dxa"/>
            <w:tcBorders>
              <w:bottom w:val="single" w:sz="4" w:space="0" w:color="auto"/>
            </w:tcBorders>
            <w:vAlign w:val="center"/>
          </w:tcPr>
          <w:p w14:paraId="499D603C" w14:textId="4ABE247D" w:rsidR="00A438A9" w:rsidRPr="00A34CD9" w:rsidRDefault="00A438A9" w:rsidP="002A528E">
            <w:pPr>
              <w:suppressLineNumbers/>
              <w:spacing w:after="0" w:line="240" w:lineRule="auto"/>
              <w:rPr>
                <w:rFonts w:eastAsia="Times New Roman" w:cstheme="minorHAnsi"/>
                <w:sz w:val="20"/>
                <w:szCs w:val="20"/>
                <w:lang w:val="en-GB"/>
              </w:rPr>
            </w:pPr>
            <w:r w:rsidRPr="00A34CD9">
              <w:rPr>
                <w:rFonts w:eastAsia="Times New Roman" w:cstheme="minorHAnsi"/>
                <w:sz w:val="20"/>
                <w:szCs w:val="20"/>
                <w:lang w:val="en-GB"/>
              </w:rPr>
              <w:t>Interaction with gear unlikely to result in injury or death</w:t>
            </w:r>
          </w:p>
        </w:tc>
      </w:tr>
    </w:tbl>
    <w:p w14:paraId="4E0560CB" w14:textId="77777777" w:rsidR="005B0E9F" w:rsidRPr="00A34CD9" w:rsidRDefault="005B0E9F" w:rsidP="002A528E">
      <w:pPr>
        <w:suppressLineNumbers/>
        <w:spacing w:line="480" w:lineRule="auto"/>
        <w:rPr>
          <w:rFonts w:eastAsia="Times New Roman" w:cstheme="minorHAnsi"/>
          <w:lang w:val="en-GB"/>
        </w:rPr>
      </w:pPr>
    </w:p>
    <w:p w14:paraId="0572BEAA" w14:textId="77777777" w:rsidR="005B0E9F" w:rsidRPr="00A34CD9" w:rsidRDefault="005B0E9F" w:rsidP="002A528E">
      <w:pPr>
        <w:suppressLineNumbers/>
        <w:spacing w:line="480" w:lineRule="auto"/>
        <w:rPr>
          <w:rFonts w:eastAsia="Times New Roman" w:cstheme="minorHAnsi"/>
          <w:lang w:val="en-GB"/>
        </w:rPr>
      </w:pPr>
    </w:p>
    <w:p w14:paraId="15E885C2" w14:textId="6CD15F05" w:rsidR="005B0E9F" w:rsidRPr="00A34CD9" w:rsidRDefault="005B0E9F" w:rsidP="002A528E">
      <w:pPr>
        <w:suppressLineNumbers/>
        <w:spacing w:line="480" w:lineRule="auto"/>
        <w:rPr>
          <w:rFonts w:eastAsia="Times New Roman" w:cstheme="minorHAnsi"/>
          <w:lang w:val="en-GB"/>
        </w:rPr>
        <w:sectPr w:rsidR="005B0E9F" w:rsidRPr="00A34CD9" w:rsidSect="00853608">
          <w:pgSz w:w="16838" w:h="11906" w:orient="landscape"/>
          <w:pgMar w:top="1080" w:right="1440" w:bottom="1080" w:left="1440" w:header="708" w:footer="708" w:gutter="0"/>
          <w:lnNumType w:countBy="1" w:restart="continuous"/>
          <w:cols w:space="720"/>
          <w:docGrid w:linePitch="299"/>
        </w:sectPr>
      </w:pPr>
    </w:p>
    <w:p w14:paraId="41EB6A22" w14:textId="55330F3E" w:rsidR="00AD54BC" w:rsidRPr="00A34CD9" w:rsidRDefault="00AD54BC" w:rsidP="002A528E">
      <w:pPr>
        <w:suppressLineNumbers/>
        <w:spacing w:line="276" w:lineRule="auto"/>
        <w:jc w:val="both"/>
        <w:rPr>
          <w:rFonts w:cstheme="minorHAnsi"/>
          <w:noProof/>
          <w:lang w:val="en-GB"/>
        </w:rPr>
      </w:pPr>
      <w:r w:rsidRPr="00A34CD9">
        <w:rPr>
          <w:rFonts w:cstheme="minorHAnsi"/>
          <w:b/>
          <w:bCs/>
          <w:noProof/>
          <w:lang w:val="en-GB"/>
        </w:rPr>
        <w:lastRenderedPageBreak/>
        <w:t>Table 2.</w:t>
      </w:r>
      <w:r w:rsidRPr="00A34CD9">
        <w:rPr>
          <w:rFonts w:cstheme="minorHAnsi"/>
          <w:noProof/>
          <w:lang w:val="en-GB"/>
        </w:rPr>
        <w:t xml:space="preserve"> Effort, filtered effort (</w:t>
      </w:r>
      <w:r w:rsidRPr="00A34CD9">
        <w:rPr>
          <w:rFonts w:cstheme="minorHAnsi"/>
          <w:i/>
          <w:iCs/>
          <w:noProof/>
          <w:lang w:val="en-GB"/>
        </w:rPr>
        <w:t>i.e.</w:t>
      </w:r>
      <w:r w:rsidRPr="00A34CD9">
        <w:rPr>
          <w:rFonts w:cstheme="minorHAnsi"/>
          <w:noProof/>
          <w:lang w:val="en-GB"/>
        </w:rPr>
        <w:t xml:space="preserve"> Beaufort Sea‐state ≤5, wave height ≤2 m and medium to good general conditions), number of sightings, number of individuals, mean group size of the sightings ± standard deviation and encounter rate of great shearwaters during JUVENA surveys.</w:t>
      </w:r>
    </w:p>
    <w:tbl>
      <w:tblPr>
        <w:tblW w:w="5000" w:type="pct"/>
        <w:jc w:val="center"/>
        <w:tblCellMar>
          <w:left w:w="70" w:type="dxa"/>
          <w:right w:w="70" w:type="dxa"/>
        </w:tblCellMar>
        <w:tblLook w:val="04A0" w:firstRow="1" w:lastRow="0" w:firstColumn="1" w:lastColumn="0" w:noHBand="0" w:noVBand="1"/>
      </w:tblPr>
      <w:tblGrid>
        <w:gridCol w:w="560"/>
        <w:gridCol w:w="1353"/>
        <w:gridCol w:w="1241"/>
        <w:gridCol w:w="1154"/>
        <w:gridCol w:w="1361"/>
        <w:gridCol w:w="1606"/>
        <w:gridCol w:w="1796"/>
      </w:tblGrid>
      <w:tr w:rsidR="00AD54BC" w:rsidRPr="00A34CD9" w14:paraId="153899BF" w14:textId="77777777" w:rsidTr="0063168F">
        <w:trPr>
          <w:trHeight w:val="567"/>
          <w:jc w:val="center"/>
        </w:trPr>
        <w:tc>
          <w:tcPr>
            <w:tcW w:w="309" w:type="pct"/>
            <w:tcBorders>
              <w:top w:val="single" w:sz="4" w:space="0" w:color="auto"/>
              <w:left w:val="nil"/>
              <w:bottom w:val="single" w:sz="4" w:space="0" w:color="auto"/>
              <w:right w:val="nil"/>
            </w:tcBorders>
            <w:shd w:val="clear" w:color="auto" w:fill="auto"/>
            <w:noWrap/>
            <w:vAlign w:val="center"/>
            <w:hideMark/>
          </w:tcPr>
          <w:p w14:paraId="7F537862"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bookmarkStart w:id="28" w:name="_Hlk85436215"/>
            <w:r w:rsidRPr="00A34CD9">
              <w:rPr>
                <w:rFonts w:eastAsia="Times New Roman" w:cstheme="minorHAnsi"/>
                <w:b/>
                <w:bCs/>
                <w:color w:val="000000"/>
                <w:sz w:val="20"/>
                <w:szCs w:val="20"/>
                <w:lang w:val="en-GB" w:eastAsia="es-ES"/>
              </w:rPr>
              <w:t>Year</w:t>
            </w:r>
          </w:p>
        </w:tc>
        <w:tc>
          <w:tcPr>
            <w:tcW w:w="746" w:type="pct"/>
            <w:tcBorders>
              <w:top w:val="single" w:sz="4" w:space="0" w:color="auto"/>
              <w:left w:val="nil"/>
              <w:bottom w:val="single" w:sz="4" w:space="0" w:color="auto"/>
              <w:right w:val="nil"/>
            </w:tcBorders>
            <w:shd w:val="clear" w:color="auto" w:fill="auto"/>
            <w:noWrap/>
            <w:vAlign w:val="center"/>
            <w:hideMark/>
          </w:tcPr>
          <w:p w14:paraId="403E463B"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Effort (km)</w:t>
            </w:r>
          </w:p>
        </w:tc>
        <w:tc>
          <w:tcPr>
            <w:tcW w:w="684" w:type="pct"/>
            <w:tcBorders>
              <w:top w:val="single" w:sz="4" w:space="0" w:color="auto"/>
              <w:left w:val="nil"/>
              <w:bottom w:val="single" w:sz="4" w:space="0" w:color="auto"/>
              <w:right w:val="nil"/>
            </w:tcBorders>
            <w:shd w:val="clear" w:color="auto" w:fill="auto"/>
            <w:noWrap/>
            <w:vAlign w:val="center"/>
            <w:hideMark/>
          </w:tcPr>
          <w:p w14:paraId="30191E60"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Filtered</w:t>
            </w:r>
          </w:p>
          <w:p w14:paraId="4EAF13A7"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effort (km)</w:t>
            </w:r>
          </w:p>
        </w:tc>
        <w:tc>
          <w:tcPr>
            <w:tcW w:w="636" w:type="pct"/>
            <w:tcBorders>
              <w:top w:val="single" w:sz="4" w:space="0" w:color="auto"/>
              <w:left w:val="nil"/>
              <w:bottom w:val="single" w:sz="4" w:space="0" w:color="auto"/>
              <w:right w:val="nil"/>
            </w:tcBorders>
            <w:shd w:val="clear" w:color="auto" w:fill="auto"/>
            <w:noWrap/>
            <w:vAlign w:val="center"/>
            <w:hideMark/>
          </w:tcPr>
          <w:p w14:paraId="2D91D226"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Sightings</w:t>
            </w:r>
          </w:p>
        </w:tc>
        <w:tc>
          <w:tcPr>
            <w:tcW w:w="750" w:type="pct"/>
            <w:tcBorders>
              <w:top w:val="single" w:sz="4" w:space="0" w:color="auto"/>
              <w:left w:val="nil"/>
              <w:bottom w:val="single" w:sz="4" w:space="0" w:color="auto"/>
              <w:right w:val="nil"/>
            </w:tcBorders>
            <w:shd w:val="clear" w:color="auto" w:fill="auto"/>
            <w:noWrap/>
            <w:vAlign w:val="center"/>
            <w:hideMark/>
          </w:tcPr>
          <w:p w14:paraId="4E37C589"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Individuals</w:t>
            </w:r>
          </w:p>
        </w:tc>
        <w:tc>
          <w:tcPr>
            <w:tcW w:w="885" w:type="pct"/>
            <w:tcBorders>
              <w:top w:val="single" w:sz="4" w:space="0" w:color="auto"/>
              <w:left w:val="nil"/>
              <w:bottom w:val="single" w:sz="4" w:space="0" w:color="auto"/>
              <w:right w:val="nil"/>
            </w:tcBorders>
            <w:shd w:val="clear" w:color="auto" w:fill="auto"/>
            <w:noWrap/>
            <w:vAlign w:val="center"/>
            <w:hideMark/>
          </w:tcPr>
          <w:p w14:paraId="4CA1E86B"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Mean cluster</w:t>
            </w:r>
          </w:p>
          <w:p w14:paraId="7A5E2DEE"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size ± SD</w:t>
            </w:r>
          </w:p>
        </w:tc>
        <w:tc>
          <w:tcPr>
            <w:tcW w:w="990" w:type="pct"/>
            <w:tcBorders>
              <w:top w:val="single" w:sz="4" w:space="0" w:color="auto"/>
              <w:left w:val="nil"/>
              <w:bottom w:val="single" w:sz="4" w:space="0" w:color="auto"/>
              <w:right w:val="nil"/>
            </w:tcBorders>
            <w:shd w:val="clear" w:color="auto" w:fill="auto"/>
            <w:noWrap/>
            <w:vAlign w:val="center"/>
            <w:hideMark/>
          </w:tcPr>
          <w:p w14:paraId="0A14F43B" w14:textId="77777777"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Encounter rate</w:t>
            </w:r>
          </w:p>
          <w:p w14:paraId="60EA3D25" w14:textId="0EF51003" w:rsidR="00AD54BC" w:rsidRPr="00A34CD9" w:rsidRDefault="00AD54BC" w:rsidP="002A528E">
            <w:pPr>
              <w:suppressLineNumbers/>
              <w:spacing w:after="0" w:line="276" w:lineRule="auto"/>
              <w:jc w:val="center"/>
              <w:rPr>
                <w:rFonts w:eastAsia="Times New Roman" w:cstheme="minorHAnsi"/>
                <w:b/>
                <w:bCs/>
                <w:color w:val="000000"/>
                <w:sz w:val="20"/>
                <w:szCs w:val="20"/>
                <w:lang w:val="en-GB" w:eastAsia="es-ES"/>
              </w:rPr>
            </w:pPr>
            <w:r w:rsidRPr="00A34CD9">
              <w:rPr>
                <w:rFonts w:eastAsia="Times New Roman" w:cstheme="minorHAnsi"/>
                <w:b/>
                <w:bCs/>
                <w:color w:val="000000"/>
                <w:sz w:val="20"/>
                <w:szCs w:val="20"/>
                <w:lang w:val="en-GB" w:eastAsia="es-ES"/>
              </w:rPr>
              <w:t>(</w:t>
            </w:r>
            <w:proofErr w:type="spellStart"/>
            <w:proofErr w:type="gramStart"/>
            <w:r w:rsidR="00462C98" w:rsidRPr="00A34CD9">
              <w:rPr>
                <w:rFonts w:cstheme="minorHAnsi"/>
                <w:lang w:val="en-GB"/>
              </w:rPr>
              <w:t>ind</w:t>
            </w:r>
            <w:proofErr w:type="spellEnd"/>
            <w:proofErr w:type="gramEnd"/>
            <w:r w:rsidR="00462C98" w:rsidRPr="00A34CD9">
              <w:rPr>
                <w:rFonts w:cstheme="minorHAnsi"/>
                <w:lang w:val="en-GB"/>
              </w:rPr>
              <w:t xml:space="preserve"> km</w:t>
            </w:r>
            <w:r w:rsidR="00462C98" w:rsidRPr="00A34CD9">
              <w:rPr>
                <w:rFonts w:cstheme="minorHAnsi"/>
                <w:vertAlign w:val="superscript"/>
                <w:lang w:val="en-GB"/>
              </w:rPr>
              <w:t>-1</w:t>
            </w:r>
            <w:r w:rsidRPr="00A34CD9">
              <w:rPr>
                <w:rFonts w:eastAsia="Times New Roman" w:cstheme="minorHAnsi"/>
                <w:b/>
                <w:bCs/>
                <w:color w:val="000000"/>
                <w:sz w:val="20"/>
                <w:szCs w:val="20"/>
                <w:lang w:val="en-GB" w:eastAsia="es-ES"/>
              </w:rPr>
              <w:t>)</w:t>
            </w:r>
          </w:p>
        </w:tc>
      </w:tr>
      <w:tr w:rsidR="00AD54BC" w:rsidRPr="00A34CD9" w14:paraId="3D3656C6" w14:textId="77777777" w:rsidTr="0063168F">
        <w:trPr>
          <w:trHeight w:val="340"/>
          <w:jc w:val="center"/>
        </w:trPr>
        <w:tc>
          <w:tcPr>
            <w:tcW w:w="309" w:type="pct"/>
            <w:tcBorders>
              <w:top w:val="single" w:sz="4" w:space="0" w:color="auto"/>
              <w:left w:val="nil"/>
              <w:bottom w:val="nil"/>
              <w:right w:val="nil"/>
            </w:tcBorders>
            <w:shd w:val="clear" w:color="auto" w:fill="auto"/>
            <w:noWrap/>
            <w:vAlign w:val="center"/>
            <w:hideMark/>
          </w:tcPr>
          <w:p w14:paraId="376EFE0B"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2013</w:t>
            </w:r>
          </w:p>
        </w:tc>
        <w:tc>
          <w:tcPr>
            <w:tcW w:w="746" w:type="pct"/>
            <w:tcBorders>
              <w:top w:val="single" w:sz="4" w:space="0" w:color="auto"/>
              <w:left w:val="nil"/>
              <w:bottom w:val="nil"/>
              <w:right w:val="nil"/>
            </w:tcBorders>
            <w:shd w:val="clear" w:color="auto" w:fill="auto"/>
            <w:noWrap/>
            <w:vAlign w:val="center"/>
            <w:hideMark/>
          </w:tcPr>
          <w:p w14:paraId="3814B4AD"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2165.85</w:t>
            </w:r>
          </w:p>
        </w:tc>
        <w:tc>
          <w:tcPr>
            <w:tcW w:w="684" w:type="pct"/>
            <w:tcBorders>
              <w:top w:val="single" w:sz="4" w:space="0" w:color="auto"/>
              <w:left w:val="nil"/>
              <w:bottom w:val="nil"/>
              <w:right w:val="nil"/>
            </w:tcBorders>
            <w:shd w:val="clear" w:color="auto" w:fill="auto"/>
            <w:noWrap/>
            <w:vAlign w:val="center"/>
            <w:hideMark/>
          </w:tcPr>
          <w:p w14:paraId="0D643208"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1555.32</w:t>
            </w:r>
          </w:p>
        </w:tc>
        <w:tc>
          <w:tcPr>
            <w:tcW w:w="636" w:type="pct"/>
            <w:tcBorders>
              <w:top w:val="single" w:sz="4" w:space="0" w:color="auto"/>
              <w:left w:val="nil"/>
              <w:bottom w:val="nil"/>
              <w:right w:val="nil"/>
            </w:tcBorders>
            <w:shd w:val="clear" w:color="auto" w:fill="auto"/>
            <w:noWrap/>
            <w:vAlign w:val="center"/>
            <w:hideMark/>
          </w:tcPr>
          <w:p w14:paraId="57E026EF"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5</w:t>
            </w:r>
          </w:p>
        </w:tc>
        <w:tc>
          <w:tcPr>
            <w:tcW w:w="750" w:type="pct"/>
            <w:tcBorders>
              <w:top w:val="single" w:sz="4" w:space="0" w:color="auto"/>
              <w:left w:val="nil"/>
              <w:bottom w:val="nil"/>
              <w:right w:val="nil"/>
            </w:tcBorders>
            <w:shd w:val="clear" w:color="auto" w:fill="auto"/>
            <w:noWrap/>
            <w:vAlign w:val="center"/>
            <w:hideMark/>
          </w:tcPr>
          <w:p w14:paraId="4D428A59"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5</w:t>
            </w:r>
          </w:p>
        </w:tc>
        <w:tc>
          <w:tcPr>
            <w:tcW w:w="885" w:type="pct"/>
            <w:tcBorders>
              <w:top w:val="single" w:sz="4" w:space="0" w:color="auto"/>
              <w:left w:val="nil"/>
              <w:bottom w:val="nil"/>
              <w:right w:val="nil"/>
            </w:tcBorders>
            <w:shd w:val="clear" w:color="auto" w:fill="auto"/>
            <w:noWrap/>
            <w:vAlign w:val="center"/>
            <w:hideMark/>
          </w:tcPr>
          <w:p w14:paraId="0CC244EA"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1±0</w:t>
            </w:r>
          </w:p>
        </w:tc>
        <w:tc>
          <w:tcPr>
            <w:tcW w:w="990" w:type="pct"/>
            <w:tcBorders>
              <w:top w:val="single" w:sz="4" w:space="0" w:color="auto"/>
              <w:left w:val="nil"/>
              <w:bottom w:val="nil"/>
              <w:right w:val="nil"/>
            </w:tcBorders>
            <w:shd w:val="clear" w:color="auto" w:fill="auto"/>
            <w:noWrap/>
            <w:vAlign w:val="center"/>
            <w:hideMark/>
          </w:tcPr>
          <w:p w14:paraId="13DA6A8D"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0.002</w:t>
            </w:r>
          </w:p>
        </w:tc>
      </w:tr>
      <w:tr w:rsidR="00AD54BC" w:rsidRPr="00A34CD9" w14:paraId="1E3CA2D7" w14:textId="77777777" w:rsidTr="0063168F">
        <w:trPr>
          <w:trHeight w:val="340"/>
          <w:jc w:val="center"/>
        </w:trPr>
        <w:tc>
          <w:tcPr>
            <w:tcW w:w="309" w:type="pct"/>
            <w:tcBorders>
              <w:top w:val="nil"/>
              <w:left w:val="nil"/>
              <w:bottom w:val="nil"/>
              <w:right w:val="nil"/>
            </w:tcBorders>
            <w:shd w:val="clear" w:color="auto" w:fill="auto"/>
            <w:noWrap/>
            <w:vAlign w:val="center"/>
            <w:hideMark/>
          </w:tcPr>
          <w:p w14:paraId="68ABC291"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2014</w:t>
            </w:r>
          </w:p>
        </w:tc>
        <w:tc>
          <w:tcPr>
            <w:tcW w:w="746" w:type="pct"/>
            <w:tcBorders>
              <w:top w:val="nil"/>
              <w:left w:val="nil"/>
              <w:bottom w:val="nil"/>
              <w:right w:val="nil"/>
            </w:tcBorders>
            <w:shd w:val="clear" w:color="auto" w:fill="auto"/>
            <w:noWrap/>
            <w:vAlign w:val="center"/>
            <w:hideMark/>
          </w:tcPr>
          <w:p w14:paraId="2054304F"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2627.23</w:t>
            </w:r>
          </w:p>
        </w:tc>
        <w:tc>
          <w:tcPr>
            <w:tcW w:w="684" w:type="pct"/>
            <w:tcBorders>
              <w:top w:val="nil"/>
              <w:left w:val="nil"/>
              <w:bottom w:val="nil"/>
              <w:right w:val="nil"/>
            </w:tcBorders>
            <w:shd w:val="clear" w:color="auto" w:fill="auto"/>
            <w:noWrap/>
            <w:vAlign w:val="center"/>
            <w:hideMark/>
          </w:tcPr>
          <w:p w14:paraId="58CE154C"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1759.53</w:t>
            </w:r>
          </w:p>
        </w:tc>
        <w:tc>
          <w:tcPr>
            <w:tcW w:w="636" w:type="pct"/>
            <w:tcBorders>
              <w:top w:val="nil"/>
              <w:left w:val="nil"/>
              <w:bottom w:val="nil"/>
              <w:right w:val="nil"/>
            </w:tcBorders>
            <w:shd w:val="clear" w:color="auto" w:fill="auto"/>
            <w:noWrap/>
            <w:vAlign w:val="center"/>
            <w:hideMark/>
          </w:tcPr>
          <w:p w14:paraId="7513F333"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113</w:t>
            </w:r>
          </w:p>
        </w:tc>
        <w:tc>
          <w:tcPr>
            <w:tcW w:w="750" w:type="pct"/>
            <w:tcBorders>
              <w:top w:val="nil"/>
              <w:left w:val="nil"/>
              <w:bottom w:val="nil"/>
              <w:right w:val="nil"/>
            </w:tcBorders>
            <w:shd w:val="clear" w:color="auto" w:fill="auto"/>
            <w:noWrap/>
            <w:vAlign w:val="center"/>
            <w:hideMark/>
          </w:tcPr>
          <w:p w14:paraId="1965EFA1"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310</w:t>
            </w:r>
          </w:p>
        </w:tc>
        <w:tc>
          <w:tcPr>
            <w:tcW w:w="885" w:type="pct"/>
            <w:tcBorders>
              <w:top w:val="nil"/>
              <w:left w:val="nil"/>
              <w:bottom w:val="nil"/>
              <w:right w:val="nil"/>
            </w:tcBorders>
            <w:shd w:val="clear" w:color="auto" w:fill="auto"/>
            <w:noWrap/>
            <w:vAlign w:val="center"/>
            <w:hideMark/>
          </w:tcPr>
          <w:p w14:paraId="76A6AFF4"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2.74±5.11</w:t>
            </w:r>
          </w:p>
        </w:tc>
        <w:tc>
          <w:tcPr>
            <w:tcW w:w="990" w:type="pct"/>
            <w:tcBorders>
              <w:top w:val="nil"/>
              <w:left w:val="nil"/>
              <w:bottom w:val="nil"/>
              <w:right w:val="nil"/>
            </w:tcBorders>
            <w:shd w:val="clear" w:color="auto" w:fill="auto"/>
            <w:noWrap/>
            <w:vAlign w:val="center"/>
            <w:hideMark/>
          </w:tcPr>
          <w:p w14:paraId="73B913E1"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0.118</w:t>
            </w:r>
          </w:p>
        </w:tc>
      </w:tr>
      <w:tr w:rsidR="00AD54BC" w:rsidRPr="00A34CD9" w14:paraId="3543D64B" w14:textId="77777777" w:rsidTr="0063168F">
        <w:trPr>
          <w:trHeight w:val="340"/>
          <w:jc w:val="center"/>
        </w:trPr>
        <w:tc>
          <w:tcPr>
            <w:tcW w:w="309" w:type="pct"/>
            <w:tcBorders>
              <w:top w:val="nil"/>
              <w:left w:val="nil"/>
              <w:bottom w:val="nil"/>
              <w:right w:val="nil"/>
            </w:tcBorders>
            <w:shd w:val="clear" w:color="auto" w:fill="auto"/>
            <w:noWrap/>
            <w:vAlign w:val="center"/>
            <w:hideMark/>
          </w:tcPr>
          <w:p w14:paraId="173FCE93"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2015</w:t>
            </w:r>
          </w:p>
        </w:tc>
        <w:tc>
          <w:tcPr>
            <w:tcW w:w="746" w:type="pct"/>
            <w:tcBorders>
              <w:top w:val="nil"/>
              <w:left w:val="nil"/>
              <w:bottom w:val="nil"/>
              <w:right w:val="nil"/>
            </w:tcBorders>
            <w:shd w:val="clear" w:color="auto" w:fill="auto"/>
            <w:noWrap/>
            <w:vAlign w:val="center"/>
            <w:hideMark/>
          </w:tcPr>
          <w:p w14:paraId="05E4A749"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2549.60</w:t>
            </w:r>
          </w:p>
        </w:tc>
        <w:tc>
          <w:tcPr>
            <w:tcW w:w="684" w:type="pct"/>
            <w:tcBorders>
              <w:top w:val="nil"/>
              <w:left w:val="nil"/>
              <w:bottom w:val="nil"/>
              <w:right w:val="nil"/>
            </w:tcBorders>
            <w:shd w:val="clear" w:color="auto" w:fill="auto"/>
            <w:noWrap/>
            <w:vAlign w:val="center"/>
            <w:hideMark/>
          </w:tcPr>
          <w:p w14:paraId="2FF252BE"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2280.87</w:t>
            </w:r>
          </w:p>
        </w:tc>
        <w:tc>
          <w:tcPr>
            <w:tcW w:w="636" w:type="pct"/>
            <w:tcBorders>
              <w:top w:val="nil"/>
              <w:left w:val="nil"/>
              <w:bottom w:val="nil"/>
              <w:right w:val="nil"/>
            </w:tcBorders>
            <w:shd w:val="clear" w:color="auto" w:fill="auto"/>
            <w:noWrap/>
            <w:vAlign w:val="center"/>
            <w:hideMark/>
          </w:tcPr>
          <w:p w14:paraId="7E5D17D7"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56</w:t>
            </w:r>
          </w:p>
        </w:tc>
        <w:tc>
          <w:tcPr>
            <w:tcW w:w="750" w:type="pct"/>
            <w:tcBorders>
              <w:top w:val="nil"/>
              <w:left w:val="nil"/>
              <w:bottom w:val="nil"/>
              <w:right w:val="nil"/>
            </w:tcBorders>
            <w:shd w:val="clear" w:color="auto" w:fill="auto"/>
            <w:noWrap/>
            <w:vAlign w:val="center"/>
            <w:hideMark/>
          </w:tcPr>
          <w:p w14:paraId="5468849F"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221</w:t>
            </w:r>
          </w:p>
        </w:tc>
        <w:tc>
          <w:tcPr>
            <w:tcW w:w="885" w:type="pct"/>
            <w:tcBorders>
              <w:top w:val="nil"/>
              <w:left w:val="nil"/>
              <w:bottom w:val="nil"/>
              <w:right w:val="nil"/>
            </w:tcBorders>
            <w:shd w:val="clear" w:color="auto" w:fill="auto"/>
            <w:noWrap/>
            <w:vAlign w:val="center"/>
            <w:hideMark/>
          </w:tcPr>
          <w:p w14:paraId="48B4A8CB"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3.95±9.89</w:t>
            </w:r>
          </w:p>
        </w:tc>
        <w:tc>
          <w:tcPr>
            <w:tcW w:w="990" w:type="pct"/>
            <w:tcBorders>
              <w:top w:val="nil"/>
              <w:left w:val="nil"/>
              <w:bottom w:val="nil"/>
              <w:right w:val="nil"/>
            </w:tcBorders>
            <w:shd w:val="clear" w:color="auto" w:fill="auto"/>
            <w:noWrap/>
            <w:vAlign w:val="center"/>
            <w:hideMark/>
          </w:tcPr>
          <w:p w14:paraId="55BC5633"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0.087</w:t>
            </w:r>
          </w:p>
        </w:tc>
      </w:tr>
      <w:tr w:rsidR="00AD54BC" w:rsidRPr="00A34CD9" w14:paraId="60D02197" w14:textId="77777777" w:rsidTr="0063168F">
        <w:trPr>
          <w:trHeight w:val="340"/>
          <w:jc w:val="center"/>
        </w:trPr>
        <w:tc>
          <w:tcPr>
            <w:tcW w:w="309" w:type="pct"/>
            <w:tcBorders>
              <w:top w:val="nil"/>
              <w:left w:val="nil"/>
              <w:bottom w:val="nil"/>
              <w:right w:val="nil"/>
            </w:tcBorders>
            <w:shd w:val="clear" w:color="auto" w:fill="auto"/>
            <w:noWrap/>
            <w:vAlign w:val="center"/>
            <w:hideMark/>
          </w:tcPr>
          <w:p w14:paraId="0680C714"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2016</w:t>
            </w:r>
          </w:p>
        </w:tc>
        <w:tc>
          <w:tcPr>
            <w:tcW w:w="746" w:type="pct"/>
            <w:tcBorders>
              <w:top w:val="nil"/>
              <w:left w:val="nil"/>
              <w:bottom w:val="nil"/>
              <w:right w:val="nil"/>
            </w:tcBorders>
            <w:shd w:val="clear" w:color="auto" w:fill="auto"/>
            <w:noWrap/>
            <w:vAlign w:val="center"/>
            <w:hideMark/>
          </w:tcPr>
          <w:p w14:paraId="1561F6DA"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2285.66</w:t>
            </w:r>
          </w:p>
        </w:tc>
        <w:tc>
          <w:tcPr>
            <w:tcW w:w="684" w:type="pct"/>
            <w:tcBorders>
              <w:top w:val="nil"/>
              <w:left w:val="nil"/>
              <w:bottom w:val="nil"/>
              <w:right w:val="nil"/>
            </w:tcBorders>
            <w:shd w:val="clear" w:color="auto" w:fill="auto"/>
            <w:noWrap/>
            <w:vAlign w:val="center"/>
            <w:hideMark/>
          </w:tcPr>
          <w:p w14:paraId="6A47BF97"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2169.32</w:t>
            </w:r>
          </w:p>
        </w:tc>
        <w:tc>
          <w:tcPr>
            <w:tcW w:w="636" w:type="pct"/>
            <w:tcBorders>
              <w:top w:val="nil"/>
              <w:left w:val="nil"/>
              <w:bottom w:val="nil"/>
              <w:right w:val="nil"/>
            </w:tcBorders>
            <w:shd w:val="clear" w:color="auto" w:fill="auto"/>
            <w:noWrap/>
            <w:vAlign w:val="center"/>
            <w:hideMark/>
          </w:tcPr>
          <w:p w14:paraId="5D8DFF1C"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279</w:t>
            </w:r>
          </w:p>
        </w:tc>
        <w:tc>
          <w:tcPr>
            <w:tcW w:w="750" w:type="pct"/>
            <w:tcBorders>
              <w:top w:val="nil"/>
              <w:left w:val="nil"/>
              <w:bottom w:val="nil"/>
              <w:right w:val="nil"/>
            </w:tcBorders>
            <w:shd w:val="clear" w:color="auto" w:fill="auto"/>
            <w:noWrap/>
            <w:vAlign w:val="center"/>
            <w:hideMark/>
          </w:tcPr>
          <w:p w14:paraId="2B80CDA8"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707</w:t>
            </w:r>
          </w:p>
        </w:tc>
        <w:tc>
          <w:tcPr>
            <w:tcW w:w="885" w:type="pct"/>
            <w:tcBorders>
              <w:top w:val="nil"/>
              <w:left w:val="nil"/>
              <w:bottom w:val="nil"/>
              <w:right w:val="nil"/>
            </w:tcBorders>
            <w:shd w:val="clear" w:color="auto" w:fill="auto"/>
            <w:noWrap/>
            <w:vAlign w:val="center"/>
            <w:hideMark/>
          </w:tcPr>
          <w:p w14:paraId="075E82DF"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2.53±5.08</w:t>
            </w:r>
          </w:p>
        </w:tc>
        <w:tc>
          <w:tcPr>
            <w:tcW w:w="990" w:type="pct"/>
            <w:tcBorders>
              <w:top w:val="nil"/>
              <w:left w:val="nil"/>
              <w:bottom w:val="nil"/>
              <w:right w:val="nil"/>
            </w:tcBorders>
            <w:shd w:val="clear" w:color="auto" w:fill="auto"/>
            <w:noWrap/>
            <w:vAlign w:val="center"/>
            <w:hideMark/>
          </w:tcPr>
          <w:p w14:paraId="4FCF5A83"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0.309</w:t>
            </w:r>
          </w:p>
        </w:tc>
      </w:tr>
      <w:tr w:rsidR="00AD54BC" w:rsidRPr="00A34CD9" w14:paraId="0E80A2C1" w14:textId="77777777" w:rsidTr="0063168F">
        <w:trPr>
          <w:trHeight w:val="340"/>
          <w:jc w:val="center"/>
        </w:trPr>
        <w:tc>
          <w:tcPr>
            <w:tcW w:w="309" w:type="pct"/>
            <w:tcBorders>
              <w:top w:val="nil"/>
              <w:left w:val="nil"/>
              <w:bottom w:val="nil"/>
              <w:right w:val="nil"/>
            </w:tcBorders>
            <w:shd w:val="clear" w:color="auto" w:fill="auto"/>
            <w:noWrap/>
            <w:vAlign w:val="center"/>
            <w:hideMark/>
          </w:tcPr>
          <w:p w14:paraId="2BA57B11"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2017</w:t>
            </w:r>
          </w:p>
        </w:tc>
        <w:tc>
          <w:tcPr>
            <w:tcW w:w="746" w:type="pct"/>
            <w:tcBorders>
              <w:top w:val="nil"/>
              <w:left w:val="nil"/>
              <w:bottom w:val="nil"/>
              <w:right w:val="nil"/>
            </w:tcBorders>
            <w:shd w:val="clear" w:color="auto" w:fill="auto"/>
            <w:noWrap/>
            <w:vAlign w:val="center"/>
            <w:hideMark/>
          </w:tcPr>
          <w:p w14:paraId="066F1385"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2147.13</w:t>
            </w:r>
          </w:p>
        </w:tc>
        <w:tc>
          <w:tcPr>
            <w:tcW w:w="684" w:type="pct"/>
            <w:tcBorders>
              <w:top w:val="nil"/>
              <w:left w:val="nil"/>
              <w:bottom w:val="nil"/>
              <w:right w:val="nil"/>
            </w:tcBorders>
            <w:shd w:val="clear" w:color="auto" w:fill="auto"/>
            <w:noWrap/>
            <w:vAlign w:val="center"/>
            <w:hideMark/>
          </w:tcPr>
          <w:p w14:paraId="6E4C8EB5"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1724.99</w:t>
            </w:r>
          </w:p>
        </w:tc>
        <w:tc>
          <w:tcPr>
            <w:tcW w:w="636" w:type="pct"/>
            <w:tcBorders>
              <w:top w:val="nil"/>
              <w:left w:val="nil"/>
              <w:bottom w:val="nil"/>
              <w:right w:val="nil"/>
            </w:tcBorders>
            <w:shd w:val="clear" w:color="auto" w:fill="auto"/>
            <w:noWrap/>
            <w:vAlign w:val="center"/>
            <w:hideMark/>
          </w:tcPr>
          <w:p w14:paraId="0A0BBB34"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316</w:t>
            </w:r>
          </w:p>
        </w:tc>
        <w:tc>
          <w:tcPr>
            <w:tcW w:w="750" w:type="pct"/>
            <w:tcBorders>
              <w:top w:val="nil"/>
              <w:left w:val="nil"/>
              <w:bottom w:val="nil"/>
              <w:right w:val="nil"/>
            </w:tcBorders>
            <w:shd w:val="clear" w:color="auto" w:fill="auto"/>
            <w:noWrap/>
            <w:vAlign w:val="center"/>
            <w:hideMark/>
          </w:tcPr>
          <w:p w14:paraId="7F1980B2"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1280</w:t>
            </w:r>
          </w:p>
        </w:tc>
        <w:tc>
          <w:tcPr>
            <w:tcW w:w="885" w:type="pct"/>
            <w:tcBorders>
              <w:top w:val="nil"/>
              <w:left w:val="nil"/>
              <w:bottom w:val="nil"/>
              <w:right w:val="nil"/>
            </w:tcBorders>
            <w:shd w:val="clear" w:color="auto" w:fill="auto"/>
            <w:noWrap/>
            <w:vAlign w:val="center"/>
            <w:hideMark/>
          </w:tcPr>
          <w:p w14:paraId="106B1F75"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4.05±11.39</w:t>
            </w:r>
          </w:p>
        </w:tc>
        <w:tc>
          <w:tcPr>
            <w:tcW w:w="990" w:type="pct"/>
            <w:tcBorders>
              <w:top w:val="nil"/>
              <w:left w:val="nil"/>
              <w:bottom w:val="nil"/>
              <w:right w:val="nil"/>
            </w:tcBorders>
            <w:shd w:val="clear" w:color="auto" w:fill="auto"/>
            <w:noWrap/>
            <w:vAlign w:val="center"/>
            <w:hideMark/>
          </w:tcPr>
          <w:p w14:paraId="78A28977"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0.596</w:t>
            </w:r>
          </w:p>
        </w:tc>
      </w:tr>
      <w:tr w:rsidR="00AD54BC" w:rsidRPr="00A34CD9" w14:paraId="68040F73" w14:textId="77777777" w:rsidTr="0063168F">
        <w:trPr>
          <w:trHeight w:val="340"/>
          <w:jc w:val="center"/>
        </w:trPr>
        <w:tc>
          <w:tcPr>
            <w:tcW w:w="309" w:type="pct"/>
            <w:tcBorders>
              <w:top w:val="nil"/>
              <w:left w:val="nil"/>
              <w:right w:val="nil"/>
            </w:tcBorders>
            <w:shd w:val="clear" w:color="auto" w:fill="auto"/>
            <w:noWrap/>
            <w:vAlign w:val="center"/>
            <w:hideMark/>
          </w:tcPr>
          <w:p w14:paraId="77F077CA"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2018</w:t>
            </w:r>
          </w:p>
        </w:tc>
        <w:tc>
          <w:tcPr>
            <w:tcW w:w="746" w:type="pct"/>
            <w:tcBorders>
              <w:top w:val="nil"/>
              <w:left w:val="nil"/>
              <w:right w:val="nil"/>
            </w:tcBorders>
            <w:shd w:val="clear" w:color="auto" w:fill="auto"/>
            <w:noWrap/>
            <w:vAlign w:val="center"/>
            <w:hideMark/>
          </w:tcPr>
          <w:p w14:paraId="5F306AA1"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2522.40</w:t>
            </w:r>
          </w:p>
        </w:tc>
        <w:tc>
          <w:tcPr>
            <w:tcW w:w="684" w:type="pct"/>
            <w:tcBorders>
              <w:top w:val="nil"/>
              <w:left w:val="nil"/>
              <w:right w:val="nil"/>
            </w:tcBorders>
            <w:shd w:val="clear" w:color="auto" w:fill="auto"/>
            <w:noWrap/>
            <w:vAlign w:val="center"/>
            <w:hideMark/>
          </w:tcPr>
          <w:p w14:paraId="5F779234"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1733.55</w:t>
            </w:r>
          </w:p>
        </w:tc>
        <w:tc>
          <w:tcPr>
            <w:tcW w:w="636" w:type="pct"/>
            <w:tcBorders>
              <w:top w:val="nil"/>
              <w:left w:val="nil"/>
              <w:right w:val="nil"/>
            </w:tcBorders>
            <w:shd w:val="clear" w:color="auto" w:fill="auto"/>
            <w:noWrap/>
            <w:vAlign w:val="center"/>
            <w:hideMark/>
          </w:tcPr>
          <w:p w14:paraId="0930CE6E"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183</w:t>
            </w:r>
          </w:p>
        </w:tc>
        <w:tc>
          <w:tcPr>
            <w:tcW w:w="750" w:type="pct"/>
            <w:tcBorders>
              <w:top w:val="nil"/>
              <w:left w:val="nil"/>
              <w:right w:val="nil"/>
            </w:tcBorders>
            <w:shd w:val="clear" w:color="auto" w:fill="auto"/>
            <w:noWrap/>
            <w:vAlign w:val="center"/>
            <w:hideMark/>
          </w:tcPr>
          <w:p w14:paraId="306BF6E7"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813</w:t>
            </w:r>
          </w:p>
        </w:tc>
        <w:tc>
          <w:tcPr>
            <w:tcW w:w="885" w:type="pct"/>
            <w:tcBorders>
              <w:top w:val="nil"/>
              <w:left w:val="nil"/>
              <w:right w:val="nil"/>
            </w:tcBorders>
            <w:shd w:val="clear" w:color="auto" w:fill="auto"/>
            <w:noWrap/>
            <w:vAlign w:val="center"/>
            <w:hideMark/>
          </w:tcPr>
          <w:p w14:paraId="38EBC473"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4.44±14.92</w:t>
            </w:r>
          </w:p>
        </w:tc>
        <w:tc>
          <w:tcPr>
            <w:tcW w:w="990" w:type="pct"/>
            <w:tcBorders>
              <w:top w:val="nil"/>
              <w:left w:val="nil"/>
              <w:right w:val="nil"/>
            </w:tcBorders>
            <w:shd w:val="clear" w:color="auto" w:fill="auto"/>
            <w:noWrap/>
            <w:vAlign w:val="center"/>
            <w:hideMark/>
          </w:tcPr>
          <w:p w14:paraId="47DC4306"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0.322</w:t>
            </w:r>
          </w:p>
        </w:tc>
      </w:tr>
      <w:tr w:rsidR="00AD54BC" w:rsidRPr="00A34CD9" w14:paraId="3FFED749" w14:textId="77777777" w:rsidTr="0063168F">
        <w:trPr>
          <w:trHeight w:val="340"/>
          <w:jc w:val="center"/>
        </w:trPr>
        <w:tc>
          <w:tcPr>
            <w:tcW w:w="309" w:type="pct"/>
            <w:tcBorders>
              <w:top w:val="nil"/>
              <w:left w:val="nil"/>
              <w:bottom w:val="single" w:sz="4" w:space="0" w:color="auto"/>
              <w:right w:val="nil"/>
            </w:tcBorders>
            <w:shd w:val="clear" w:color="auto" w:fill="auto"/>
            <w:noWrap/>
            <w:vAlign w:val="center"/>
            <w:hideMark/>
          </w:tcPr>
          <w:p w14:paraId="7ED1998C"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2019</w:t>
            </w:r>
          </w:p>
        </w:tc>
        <w:tc>
          <w:tcPr>
            <w:tcW w:w="746" w:type="pct"/>
            <w:tcBorders>
              <w:top w:val="nil"/>
              <w:left w:val="nil"/>
              <w:bottom w:val="single" w:sz="4" w:space="0" w:color="auto"/>
              <w:right w:val="nil"/>
            </w:tcBorders>
            <w:shd w:val="clear" w:color="auto" w:fill="auto"/>
            <w:noWrap/>
            <w:vAlign w:val="center"/>
            <w:hideMark/>
          </w:tcPr>
          <w:p w14:paraId="49FC89D8"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1646.61</w:t>
            </w:r>
          </w:p>
        </w:tc>
        <w:tc>
          <w:tcPr>
            <w:tcW w:w="684" w:type="pct"/>
            <w:tcBorders>
              <w:top w:val="nil"/>
              <w:left w:val="nil"/>
              <w:bottom w:val="single" w:sz="4" w:space="0" w:color="auto"/>
              <w:right w:val="nil"/>
            </w:tcBorders>
            <w:shd w:val="clear" w:color="auto" w:fill="auto"/>
            <w:noWrap/>
            <w:vAlign w:val="center"/>
            <w:hideMark/>
          </w:tcPr>
          <w:p w14:paraId="7840F237"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826.90</w:t>
            </w:r>
          </w:p>
        </w:tc>
        <w:tc>
          <w:tcPr>
            <w:tcW w:w="636" w:type="pct"/>
            <w:tcBorders>
              <w:top w:val="nil"/>
              <w:left w:val="nil"/>
              <w:bottom w:val="single" w:sz="4" w:space="0" w:color="auto"/>
              <w:right w:val="nil"/>
            </w:tcBorders>
            <w:shd w:val="clear" w:color="auto" w:fill="auto"/>
            <w:noWrap/>
            <w:vAlign w:val="center"/>
            <w:hideMark/>
          </w:tcPr>
          <w:p w14:paraId="6E992482"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w:t>
            </w:r>
          </w:p>
        </w:tc>
        <w:tc>
          <w:tcPr>
            <w:tcW w:w="750" w:type="pct"/>
            <w:tcBorders>
              <w:top w:val="nil"/>
              <w:left w:val="nil"/>
              <w:bottom w:val="single" w:sz="4" w:space="0" w:color="auto"/>
              <w:right w:val="nil"/>
            </w:tcBorders>
            <w:shd w:val="clear" w:color="auto" w:fill="auto"/>
            <w:noWrap/>
            <w:vAlign w:val="center"/>
            <w:hideMark/>
          </w:tcPr>
          <w:p w14:paraId="041A8B3D"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2</w:t>
            </w:r>
          </w:p>
        </w:tc>
        <w:tc>
          <w:tcPr>
            <w:tcW w:w="885" w:type="pct"/>
            <w:tcBorders>
              <w:top w:val="nil"/>
              <w:left w:val="nil"/>
              <w:bottom w:val="single" w:sz="4" w:space="0" w:color="auto"/>
              <w:right w:val="nil"/>
            </w:tcBorders>
            <w:shd w:val="clear" w:color="auto" w:fill="auto"/>
            <w:noWrap/>
            <w:vAlign w:val="center"/>
            <w:hideMark/>
          </w:tcPr>
          <w:p w14:paraId="095C47F4"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1±0</w:t>
            </w:r>
          </w:p>
        </w:tc>
        <w:tc>
          <w:tcPr>
            <w:tcW w:w="990" w:type="pct"/>
            <w:tcBorders>
              <w:top w:val="nil"/>
              <w:left w:val="nil"/>
              <w:bottom w:val="single" w:sz="4" w:space="0" w:color="auto"/>
              <w:right w:val="nil"/>
            </w:tcBorders>
            <w:shd w:val="clear" w:color="auto" w:fill="auto"/>
            <w:noWrap/>
            <w:vAlign w:val="center"/>
            <w:hideMark/>
          </w:tcPr>
          <w:p w14:paraId="3441163C" w14:textId="77777777" w:rsidR="00AD54BC" w:rsidRPr="00A34CD9" w:rsidRDefault="00AD54BC" w:rsidP="002A528E">
            <w:pPr>
              <w:suppressLineNumbers/>
              <w:spacing w:after="0" w:line="276" w:lineRule="auto"/>
              <w:jc w:val="center"/>
              <w:rPr>
                <w:rFonts w:cstheme="minorHAnsi"/>
                <w:sz w:val="20"/>
                <w:szCs w:val="20"/>
                <w:lang w:val="en-GB"/>
              </w:rPr>
            </w:pPr>
            <w:r w:rsidRPr="00A34CD9">
              <w:rPr>
                <w:rFonts w:cstheme="minorHAnsi"/>
                <w:sz w:val="20"/>
                <w:szCs w:val="20"/>
                <w:lang w:val="en-GB"/>
              </w:rPr>
              <w:t>0.001</w:t>
            </w:r>
          </w:p>
        </w:tc>
      </w:tr>
      <w:bookmarkEnd w:id="28"/>
    </w:tbl>
    <w:p w14:paraId="48235CCD" w14:textId="77777777" w:rsidR="00AD54BC" w:rsidRPr="00A34CD9" w:rsidRDefault="00AD54BC" w:rsidP="002A528E">
      <w:pPr>
        <w:suppressLineNumbers/>
        <w:spacing w:line="276" w:lineRule="auto"/>
        <w:jc w:val="both"/>
        <w:rPr>
          <w:rFonts w:cstheme="minorHAnsi"/>
          <w:b/>
          <w:bCs/>
          <w:noProof/>
          <w:lang w:val="en-GB"/>
        </w:rPr>
      </w:pPr>
    </w:p>
    <w:p w14:paraId="01C14E14" w14:textId="7E601C1C" w:rsidR="001B2E1D" w:rsidRPr="00A34CD9" w:rsidRDefault="001B2E1D">
      <w:pPr>
        <w:spacing w:line="276" w:lineRule="auto"/>
        <w:jc w:val="both"/>
        <w:rPr>
          <w:rFonts w:cstheme="minorHAnsi"/>
          <w:b/>
          <w:bCs/>
          <w:noProof/>
          <w:lang w:val="en-GB"/>
        </w:rPr>
        <w:sectPr w:rsidR="001B2E1D" w:rsidRPr="00A34CD9" w:rsidSect="001B2E1D">
          <w:pgSz w:w="11906" w:h="16838"/>
          <w:pgMar w:top="1417" w:right="1701" w:bottom="1417" w:left="1134" w:header="708" w:footer="708" w:gutter="0"/>
          <w:lnNumType w:countBy="1" w:restart="continuous"/>
          <w:cols w:space="708"/>
          <w:docGrid w:linePitch="360"/>
        </w:sectPr>
      </w:pPr>
    </w:p>
    <w:p w14:paraId="07A337C4" w14:textId="7D31024D" w:rsidR="007D39B3" w:rsidRPr="00A34CD9" w:rsidRDefault="007D39B3" w:rsidP="002A528E">
      <w:pPr>
        <w:suppressLineNumbers/>
        <w:spacing w:line="276" w:lineRule="auto"/>
        <w:jc w:val="both"/>
        <w:rPr>
          <w:rFonts w:cstheme="minorHAnsi"/>
          <w:noProof/>
          <w:lang w:val="en-GB"/>
        </w:rPr>
      </w:pPr>
      <w:r w:rsidRPr="00A34CD9">
        <w:rPr>
          <w:rFonts w:cstheme="minorHAnsi"/>
          <w:b/>
          <w:bCs/>
          <w:noProof/>
          <w:lang w:val="en-GB"/>
        </w:rPr>
        <w:lastRenderedPageBreak/>
        <w:t>Figure 1.</w:t>
      </w:r>
      <w:r w:rsidRPr="00A34CD9">
        <w:rPr>
          <w:rFonts w:cstheme="minorHAnsi"/>
          <w:noProof/>
          <w:lang w:val="en-GB"/>
        </w:rPr>
        <w:t xml:space="preserve"> Maps showing the study area (bl</w:t>
      </w:r>
      <w:r w:rsidR="00221C16" w:rsidRPr="00A34CD9">
        <w:rPr>
          <w:rFonts w:cstheme="minorHAnsi"/>
          <w:noProof/>
          <w:lang w:val="en-GB"/>
        </w:rPr>
        <w:t>ue</w:t>
      </w:r>
      <w:r w:rsidRPr="00A34CD9">
        <w:rPr>
          <w:rFonts w:cstheme="minorHAnsi"/>
          <w:noProof/>
          <w:lang w:val="en-GB"/>
        </w:rPr>
        <w:t xml:space="preserve"> polygon), the line‐transect sampling </w:t>
      </w:r>
      <w:r w:rsidR="00A630E3" w:rsidRPr="00A34CD9">
        <w:rPr>
          <w:rFonts w:cstheme="minorHAnsi"/>
          <w:noProof/>
          <w:lang w:val="en-GB"/>
        </w:rPr>
        <w:t xml:space="preserve">and the </w:t>
      </w:r>
      <w:r w:rsidRPr="00A34CD9">
        <w:rPr>
          <w:rFonts w:cstheme="minorHAnsi"/>
          <w:noProof/>
          <w:lang w:val="en-GB"/>
        </w:rPr>
        <w:t>great shearwater sightings by year during JUVENA surveys (2013-2019).</w:t>
      </w:r>
      <w:r w:rsidR="00AC4C43">
        <w:rPr>
          <w:rFonts w:cstheme="minorHAnsi"/>
          <w:noProof/>
          <w:lang w:val="en-GB"/>
        </w:rPr>
        <w:t xml:space="preserve"> </w:t>
      </w:r>
      <w:r w:rsidR="00AC4C43" w:rsidRPr="00AC4C43">
        <w:rPr>
          <w:rFonts w:cstheme="minorHAnsi"/>
          <w:noProof/>
          <w:lang w:val="en-GB"/>
        </w:rPr>
        <w:t>Bathymetry contours indicate the</w:t>
      </w:r>
      <w:r w:rsidR="00AC4C43">
        <w:rPr>
          <w:rFonts w:cstheme="minorHAnsi"/>
          <w:noProof/>
          <w:lang w:val="en-GB"/>
        </w:rPr>
        <w:t xml:space="preserve"> 50 m isobath and the</w:t>
      </w:r>
      <w:r w:rsidR="00AC4C43" w:rsidRPr="00AC4C43">
        <w:rPr>
          <w:rFonts w:cstheme="minorHAnsi"/>
          <w:noProof/>
          <w:lang w:val="en-GB"/>
        </w:rPr>
        <w:t xml:space="preserve"> edge of the continental shelf.</w:t>
      </w:r>
      <w:r w:rsidRPr="00A34CD9">
        <w:rPr>
          <w:rFonts w:cstheme="minorHAnsi"/>
          <w:noProof/>
          <w:lang w:val="en-GB"/>
        </w:rPr>
        <w:t xml:space="preserve"> Geographical references mentioned in the text are shown in the first map.</w:t>
      </w:r>
      <w:r w:rsidR="00AC4C43">
        <w:rPr>
          <w:rFonts w:cstheme="minorHAnsi"/>
          <w:noProof/>
          <w:lang w:val="en-GB"/>
        </w:rPr>
        <w:t xml:space="preserve"> </w:t>
      </w:r>
    </w:p>
    <w:p w14:paraId="0F6F5B2F" w14:textId="1D376AA3" w:rsidR="00AA5063" w:rsidRPr="00A34CD9" w:rsidRDefault="007D39B3" w:rsidP="002A528E">
      <w:pPr>
        <w:suppressLineNumbers/>
        <w:spacing w:line="480" w:lineRule="auto"/>
        <w:jc w:val="center"/>
        <w:rPr>
          <w:rFonts w:eastAsia="Calibri" w:cstheme="minorHAnsi"/>
          <w:highlight w:val="yellow"/>
          <w:lang w:val="en-GB"/>
        </w:rPr>
      </w:pPr>
      <w:r w:rsidRPr="00A34CD9">
        <w:rPr>
          <w:rFonts w:cstheme="minorHAnsi"/>
          <w:noProof/>
          <w:lang w:val="en-GB"/>
        </w:rPr>
        <w:drawing>
          <wp:inline distT="0" distB="0" distL="0" distR="0" wp14:anchorId="3D3BFC25" wp14:editId="6E56EFD5">
            <wp:extent cx="5398071" cy="660763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98071" cy="6607639"/>
                    </a:xfrm>
                    <a:prstGeom prst="rect">
                      <a:avLst/>
                    </a:prstGeom>
                    <a:noFill/>
                    <a:ln>
                      <a:noFill/>
                    </a:ln>
                  </pic:spPr>
                </pic:pic>
              </a:graphicData>
            </a:graphic>
          </wp:inline>
        </w:drawing>
      </w:r>
    </w:p>
    <w:p w14:paraId="0EC24A45" w14:textId="32F7DF72" w:rsidR="00CE0D40" w:rsidRPr="00A34CD9" w:rsidRDefault="00CE0D40" w:rsidP="002A528E">
      <w:pPr>
        <w:suppressLineNumbers/>
        <w:spacing w:line="276" w:lineRule="auto"/>
        <w:jc w:val="both"/>
        <w:rPr>
          <w:rFonts w:cstheme="minorHAnsi"/>
          <w:noProof/>
          <w:lang w:val="en-GB"/>
        </w:rPr>
      </w:pPr>
      <w:r w:rsidRPr="00A34CD9">
        <w:rPr>
          <w:rFonts w:cstheme="minorHAnsi"/>
          <w:b/>
          <w:bCs/>
          <w:noProof/>
          <w:lang w:val="en-GB"/>
        </w:rPr>
        <w:br w:type="page"/>
      </w:r>
      <w:r w:rsidRPr="00A34CD9">
        <w:rPr>
          <w:rFonts w:cstheme="minorHAnsi"/>
          <w:b/>
          <w:bCs/>
          <w:noProof/>
          <w:lang w:val="en-GB"/>
        </w:rPr>
        <w:lastRenderedPageBreak/>
        <w:t>Figure 2.</w:t>
      </w:r>
      <w:r w:rsidRPr="00A34CD9">
        <w:rPr>
          <w:rFonts w:cstheme="minorHAnsi"/>
          <w:noProof/>
          <w:lang w:val="en-GB"/>
        </w:rPr>
        <w:t xml:space="preserve"> Main environmental variables driving great shearwater abundance patterns characterized by means of (a) relative variable importance and (b) smoothed fits of the main covariates</w:t>
      </w:r>
      <w:r w:rsidR="00345EB4" w:rsidRPr="00A34CD9">
        <w:rPr>
          <w:rFonts w:cstheme="minorHAnsi"/>
          <w:noProof/>
          <w:lang w:val="en-GB"/>
        </w:rPr>
        <w:t xml:space="preserve"> where t</w:t>
      </w:r>
      <w:r w:rsidRPr="00A34CD9">
        <w:rPr>
          <w:rFonts w:cstheme="minorHAnsi"/>
          <w:noProof/>
          <w:lang w:val="en-GB"/>
        </w:rPr>
        <w:t>he x‐axis shows the predictor variable values</w:t>
      </w:r>
      <w:r w:rsidR="00345EB4" w:rsidRPr="00A34CD9">
        <w:rPr>
          <w:rFonts w:cstheme="minorHAnsi"/>
          <w:noProof/>
          <w:lang w:val="en-GB"/>
        </w:rPr>
        <w:t>, t</w:t>
      </w:r>
      <w:r w:rsidRPr="00A34CD9">
        <w:rPr>
          <w:rFonts w:cstheme="minorHAnsi"/>
          <w:noProof/>
          <w:lang w:val="en-GB"/>
        </w:rPr>
        <w:t>he y‐axis represents the centred smooth term contribution to the model on the scale of the linear predictor</w:t>
      </w:r>
      <w:r w:rsidR="008E50BE" w:rsidRPr="00A34CD9">
        <w:rPr>
          <w:rFonts w:cstheme="minorHAnsi"/>
          <w:noProof/>
          <w:lang w:val="en-GB"/>
        </w:rPr>
        <w:t xml:space="preserve"> and t</w:t>
      </w:r>
      <w:r w:rsidRPr="00A34CD9">
        <w:rPr>
          <w:rFonts w:cstheme="minorHAnsi"/>
          <w:noProof/>
          <w:lang w:val="en-GB"/>
        </w:rPr>
        <w:t xml:space="preserve">he two vertical black lines indicate </w:t>
      </w:r>
      <w:bookmarkStart w:id="29" w:name="_Hlk89420876"/>
      <w:r w:rsidRPr="00A34CD9">
        <w:rPr>
          <w:rFonts w:cstheme="minorHAnsi"/>
          <w:noProof/>
          <w:lang w:val="en-GB"/>
        </w:rPr>
        <w:t xml:space="preserve">the 5 and 95% quantiles interval. Interpretation of relationships outside this range should be avoided, since the smooth splines may not be reliable. </w:t>
      </w:r>
      <w:r w:rsidR="008E50BE" w:rsidRPr="00A34CD9">
        <w:rPr>
          <w:rFonts w:cstheme="minorHAnsi"/>
          <w:noProof/>
          <w:lang w:val="en-GB"/>
        </w:rPr>
        <w:t>Blue</w:t>
      </w:r>
      <w:r w:rsidRPr="00A34CD9">
        <w:rPr>
          <w:rFonts w:cstheme="minorHAnsi"/>
          <w:noProof/>
          <w:lang w:val="en-GB"/>
        </w:rPr>
        <w:t xml:space="preserve"> shaded area indicates approximate 95% confidence bounds</w:t>
      </w:r>
      <w:bookmarkEnd w:id="29"/>
      <w:r w:rsidRPr="00A34CD9">
        <w:rPr>
          <w:rFonts w:cstheme="minorHAnsi"/>
          <w:noProof/>
          <w:lang w:val="en-GB"/>
        </w:rPr>
        <w:t xml:space="preserve">. </w:t>
      </w:r>
      <w:r w:rsidR="00AC4C43">
        <w:rPr>
          <w:rFonts w:cstheme="minorHAnsi"/>
          <w:noProof/>
          <w:lang w:val="en-GB"/>
        </w:rPr>
        <w:t xml:space="preserve">TEM: temperature; SAL: salinity; DistCO: </w:t>
      </w:r>
      <w:r w:rsidR="00AC4C43" w:rsidRPr="00AC4C43">
        <w:rPr>
          <w:rFonts w:cstheme="minorHAnsi"/>
          <w:noProof/>
          <w:lang w:val="en-GB"/>
        </w:rPr>
        <w:t>Closest distance to the coastline</w:t>
      </w:r>
      <w:r w:rsidR="00AC4C43">
        <w:rPr>
          <w:rFonts w:cstheme="minorHAnsi"/>
          <w:noProof/>
          <w:lang w:val="en-GB"/>
        </w:rPr>
        <w:t xml:space="preserve">; TEMg: </w:t>
      </w:r>
      <w:r w:rsidR="00AC4C43" w:rsidRPr="00AC4C43">
        <w:rPr>
          <w:rFonts w:cstheme="minorHAnsi"/>
          <w:noProof/>
          <w:lang w:val="en-GB"/>
        </w:rPr>
        <w:t>Sea surface temperature gradient</w:t>
      </w:r>
      <w:r w:rsidR="00AC4C43">
        <w:rPr>
          <w:rFonts w:cstheme="minorHAnsi"/>
          <w:noProof/>
          <w:lang w:val="en-GB"/>
        </w:rPr>
        <w:t xml:space="preserve">; BATg: </w:t>
      </w:r>
      <w:r w:rsidR="00AC4C43" w:rsidRPr="00AC4C43">
        <w:rPr>
          <w:rFonts w:cstheme="minorHAnsi"/>
          <w:noProof/>
          <w:lang w:val="en-GB"/>
        </w:rPr>
        <w:t>Depth spatial gradient</w:t>
      </w:r>
      <w:r w:rsidR="00AC4C43">
        <w:rPr>
          <w:rFonts w:cstheme="minorHAnsi"/>
          <w:noProof/>
          <w:lang w:val="en-GB"/>
        </w:rPr>
        <w:t xml:space="preserve">; PIL: </w:t>
      </w:r>
      <w:r w:rsidR="00AC4C43" w:rsidRPr="00AC4C43">
        <w:rPr>
          <w:rFonts w:cstheme="minorHAnsi"/>
          <w:noProof/>
          <w:lang w:val="en-GB"/>
        </w:rPr>
        <w:t>Biomass of European pilchard</w:t>
      </w:r>
      <w:r w:rsidR="00AC4C43">
        <w:rPr>
          <w:rFonts w:cstheme="minorHAnsi"/>
          <w:noProof/>
          <w:lang w:val="en-GB"/>
        </w:rPr>
        <w:t>.</w:t>
      </w:r>
    </w:p>
    <w:p w14:paraId="38283CD9" w14:textId="24DEFB49" w:rsidR="00571FD1" w:rsidRPr="00A34CD9" w:rsidRDefault="00F131D8" w:rsidP="002A528E">
      <w:pPr>
        <w:suppressLineNumbers/>
        <w:spacing w:line="480" w:lineRule="auto"/>
        <w:jc w:val="center"/>
        <w:rPr>
          <w:rFonts w:cstheme="minorHAnsi"/>
          <w:noProof/>
          <w:lang w:val="en-GB"/>
        </w:rPr>
      </w:pPr>
      <w:r w:rsidRPr="00A34CD9">
        <w:rPr>
          <w:rFonts w:cstheme="minorHAnsi"/>
          <w:noProof/>
          <w:lang w:val="en-GB"/>
        </w:rPr>
        <w:drawing>
          <wp:inline distT="0" distB="0" distL="0" distR="0" wp14:anchorId="09E01B0A" wp14:editId="6717C751">
            <wp:extent cx="3949433" cy="67453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949433" cy="6745381"/>
                    </a:xfrm>
                    <a:prstGeom prst="rect">
                      <a:avLst/>
                    </a:prstGeom>
                    <a:noFill/>
                    <a:ln>
                      <a:noFill/>
                    </a:ln>
                  </pic:spPr>
                </pic:pic>
              </a:graphicData>
            </a:graphic>
          </wp:inline>
        </w:drawing>
      </w:r>
    </w:p>
    <w:p w14:paraId="4EA7EC18" w14:textId="01C2EA94" w:rsidR="00CE0D40" w:rsidRPr="00A34CD9" w:rsidRDefault="00CE0D40" w:rsidP="002A528E">
      <w:pPr>
        <w:suppressLineNumbers/>
        <w:spacing w:line="480" w:lineRule="auto"/>
        <w:rPr>
          <w:rFonts w:eastAsia="Calibri" w:cstheme="minorHAnsi"/>
          <w:lang w:val="en-GB"/>
        </w:rPr>
        <w:sectPr w:rsidR="00CE0D40" w:rsidRPr="00A34CD9" w:rsidSect="00496736">
          <w:pgSz w:w="11906" w:h="16838"/>
          <w:pgMar w:top="1417" w:right="1701" w:bottom="1417" w:left="1134" w:header="708" w:footer="708" w:gutter="0"/>
          <w:lnNumType w:countBy="1" w:restart="continuous"/>
          <w:cols w:space="708"/>
          <w:docGrid w:linePitch="360"/>
        </w:sectPr>
      </w:pPr>
    </w:p>
    <w:p w14:paraId="6CBE7677" w14:textId="77777777" w:rsidR="000141D5" w:rsidRPr="00A34CD9" w:rsidRDefault="000141D5" w:rsidP="002A528E">
      <w:pPr>
        <w:suppressLineNumbers/>
        <w:spacing w:line="276" w:lineRule="auto"/>
        <w:jc w:val="both"/>
        <w:rPr>
          <w:rFonts w:cstheme="minorHAnsi"/>
          <w:b/>
          <w:bCs/>
          <w:noProof/>
          <w:lang w:val="en-GB"/>
        </w:rPr>
      </w:pPr>
    </w:p>
    <w:p w14:paraId="7BE0E6AF" w14:textId="663EA49F" w:rsidR="000141D5" w:rsidRPr="00A34CD9" w:rsidRDefault="000141D5" w:rsidP="002A528E">
      <w:pPr>
        <w:suppressLineNumbers/>
        <w:spacing w:line="276" w:lineRule="auto"/>
        <w:jc w:val="both"/>
        <w:rPr>
          <w:rFonts w:cstheme="minorHAnsi"/>
          <w:noProof/>
          <w:lang w:val="en-GB"/>
        </w:rPr>
      </w:pPr>
      <w:r w:rsidRPr="00A34CD9">
        <w:rPr>
          <w:rFonts w:cstheme="minorHAnsi"/>
          <w:b/>
          <w:bCs/>
          <w:noProof/>
          <w:lang w:val="en-GB"/>
        </w:rPr>
        <w:lastRenderedPageBreak/>
        <w:t>Figure 3</w:t>
      </w:r>
      <w:r w:rsidR="0030706E" w:rsidRPr="00A34CD9">
        <w:rPr>
          <w:rFonts w:cstheme="minorHAnsi"/>
          <w:b/>
          <w:bCs/>
          <w:noProof/>
          <w:lang w:val="en-GB"/>
        </w:rPr>
        <w:t>.</w:t>
      </w:r>
      <w:r w:rsidRPr="00A34CD9">
        <w:rPr>
          <w:rFonts w:cstheme="minorHAnsi"/>
          <w:noProof/>
          <w:lang w:val="en-GB"/>
        </w:rPr>
        <w:t xml:space="preserve"> Great shearwater spatial density predictions in the Bay of Biscay during September (2013–2019) surveys.</w:t>
      </w:r>
      <w:r w:rsidR="00AC4C43">
        <w:rPr>
          <w:rFonts w:cstheme="minorHAnsi"/>
          <w:noProof/>
          <w:lang w:val="en-GB"/>
        </w:rPr>
        <w:t xml:space="preserve"> </w:t>
      </w:r>
      <w:r w:rsidR="00AC4C43" w:rsidRPr="00AC4C43">
        <w:rPr>
          <w:rFonts w:cstheme="minorHAnsi"/>
          <w:noProof/>
          <w:lang w:val="en-GB"/>
        </w:rPr>
        <w:t>Bathymetry contours indicate the</w:t>
      </w:r>
      <w:r w:rsidR="00AC4C43">
        <w:rPr>
          <w:rFonts w:cstheme="minorHAnsi"/>
          <w:noProof/>
          <w:lang w:val="en-GB"/>
        </w:rPr>
        <w:t xml:space="preserve"> 50 m isobath and the</w:t>
      </w:r>
      <w:r w:rsidR="00AC4C43" w:rsidRPr="00AC4C43">
        <w:rPr>
          <w:rFonts w:cstheme="minorHAnsi"/>
          <w:noProof/>
          <w:lang w:val="en-GB"/>
        </w:rPr>
        <w:t xml:space="preserve"> edge of the continental shelf.</w:t>
      </w:r>
    </w:p>
    <w:p w14:paraId="24D98F5A" w14:textId="2BF43C75" w:rsidR="000141D5" w:rsidRPr="00A34CD9" w:rsidRDefault="000141D5" w:rsidP="002A528E">
      <w:pPr>
        <w:suppressLineNumbers/>
        <w:spacing w:line="276" w:lineRule="auto"/>
        <w:jc w:val="center"/>
        <w:rPr>
          <w:rFonts w:cstheme="minorHAnsi"/>
          <w:b/>
          <w:bCs/>
          <w:noProof/>
          <w:lang w:val="en-GB"/>
        </w:rPr>
        <w:sectPr w:rsidR="000141D5" w:rsidRPr="00A34CD9" w:rsidSect="00F35453">
          <w:type w:val="continuous"/>
          <w:pgSz w:w="11906" w:h="16838"/>
          <w:pgMar w:top="1417" w:right="1701" w:bottom="1417" w:left="851" w:header="708" w:footer="708" w:gutter="0"/>
          <w:lnNumType w:countBy="1" w:restart="continuous"/>
          <w:cols w:space="708"/>
          <w:docGrid w:linePitch="360"/>
        </w:sectPr>
      </w:pPr>
      <w:r w:rsidRPr="00A34CD9">
        <w:rPr>
          <w:noProof/>
          <w:lang w:val="en-GB"/>
        </w:rPr>
        <w:drawing>
          <wp:inline distT="0" distB="0" distL="0" distR="0" wp14:anchorId="43C0424C" wp14:editId="45B94B60">
            <wp:extent cx="5589800" cy="76320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89800" cy="7632000"/>
                    </a:xfrm>
                    <a:prstGeom prst="rect">
                      <a:avLst/>
                    </a:prstGeom>
                    <a:noFill/>
                    <a:ln>
                      <a:noFill/>
                    </a:ln>
                  </pic:spPr>
                </pic:pic>
              </a:graphicData>
            </a:graphic>
          </wp:inline>
        </w:drawing>
      </w:r>
    </w:p>
    <w:p w14:paraId="6EADC46F" w14:textId="75BB3DFD" w:rsidR="001E4140" w:rsidRPr="00A34CD9" w:rsidRDefault="00FA06E8" w:rsidP="00123368">
      <w:pPr>
        <w:suppressLineNumbers/>
        <w:spacing w:line="276" w:lineRule="auto"/>
        <w:rPr>
          <w:rFonts w:cstheme="minorHAnsi"/>
          <w:noProof/>
          <w:lang w:val="en-GB"/>
        </w:rPr>
      </w:pPr>
      <w:r w:rsidRPr="00A34CD9">
        <w:rPr>
          <w:rFonts w:eastAsia="Calibri" w:cstheme="minorHAnsi"/>
          <w:b/>
          <w:bCs/>
          <w:lang w:val="en-GB"/>
        </w:rPr>
        <w:lastRenderedPageBreak/>
        <w:t>Figure 4.</w:t>
      </w:r>
      <w:r w:rsidRPr="00A34CD9">
        <w:rPr>
          <w:rFonts w:eastAsia="Calibri" w:cstheme="minorHAnsi"/>
          <w:lang w:val="en-GB"/>
        </w:rPr>
        <w:t xml:space="preserve"> Mean fishing effort of the </w:t>
      </w:r>
      <w:r w:rsidRPr="00A34CD9">
        <w:rPr>
          <w:rFonts w:cstheme="minorHAnsi"/>
          <w:noProof/>
          <w:lang w:val="en-GB"/>
        </w:rPr>
        <w:t>artisanal tuna fishing performed during the peak period</w:t>
      </w:r>
      <w:r w:rsidR="00DC60C1" w:rsidRPr="00A34CD9">
        <w:rPr>
          <w:rFonts w:cstheme="minorHAnsi"/>
          <w:noProof/>
          <w:lang w:val="en-GB"/>
        </w:rPr>
        <w:t xml:space="preserve"> (july-september)</w:t>
      </w:r>
      <w:r w:rsidRPr="00A34CD9">
        <w:rPr>
          <w:rFonts w:cstheme="minorHAnsi"/>
          <w:noProof/>
          <w:lang w:val="en-GB"/>
        </w:rPr>
        <w:t xml:space="preserve"> for the period 2013-2019 by a) baitboats (LHP) and b) trollers (LTL).</w:t>
      </w:r>
      <w:r w:rsidR="00AC4C43">
        <w:rPr>
          <w:rFonts w:cstheme="minorHAnsi"/>
          <w:noProof/>
          <w:lang w:val="en-GB"/>
        </w:rPr>
        <w:t xml:space="preserve"> </w:t>
      </w:r>
      <w:r w:rsidR="00AC4C43" w:rsidRPr="00AC4C43">
        <w:rPr>
          <w:rFonts w:cstheme="minorHAnsi"/>
          <w:noProof/>
          <w:lang w:val="en-GB"/>
        </w:rPr>
        <w:t>Bathymetry contours indicate the</w:t>
      </w:r>
      <w:r w:rsidR="00AC4C43">
        <w:rPr>
          <w:rFonts w:cstheme="minorHAnsi"/>
          <w:noProof/>
          <w:lang w:val="en-GB"/>
        </w:rPr>
        <w:t xml:space="preserve"> 50 m isobath and the</w:t>
      </w:r>
      <w:r w:rsidR="00AC4C43" w:rsidRPr="00AC4C43">
        <w:rPr>
          <w:rFonts w:cstheme="minorHAnsi"/>
          <w:noProof/>
          <w:lang w:val="en-GB"/>
        </w:rPr>
        <w:t xml:space="preserve"> edge of the continental shelf.</w:t>
      </w:r>
    </w:p>
    <w:p w14:paraId="2328B98B" w14:textId="142A6AD4" w:rsidR="00496736" w:rsidRPr="00A34CD9" w:rsidRDefault="00225E8C" w:rsidP="00123368">
      <w:pPr>
        <w:suppressLineNumbers/>
        <w:spacing w:line="480" w:lineRule="auto"/>
        <w:jc w:val="center"/>
        <w:rPr>
          <w:rFonts w:eastAsia="Calibri" w:cstheme="minorHAnsi"/>
          <w:lang w:val="en-GB"/>
        </w:rPr>
      </w:pPr>
      <w:r w:rsidRPr="00A34CD9">
        <w:rPr>
          <w:rFonts w:eastAsia="Calibri" w:cstheme="minorHAnsi"/>
          <w:noProof/>
          <w:lang w:val="en-GB"/>
        </w:rPr>
        <w:drawing>
          <wp:inline distT="0" distB="0" distL="0" distR="0" wp14:anchorId="31B6C395" wp14:editId="48450044">
            <wp:extent cx="7078652" cy="504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8652" cy="5040000"/>
                    </a:xfrm>
                    <a:prstGeom prst="rect">
                      <a:avLst/>
                    </a:prstGeom>
                    <a:noFill/>
                    <a:ln>
                      <a:noFill/>
                    </a:ln>
                  </pic:spPr>
                </pic:pic>
              </a:graphicData>
            </a:graphic>
          </wp:inline>
        </w:drawing>
      </w:r>
    </w:p>
    <w:p w14:paraId="00C55416" w14:textId="77777777" w:rsidR="00280743" w:rsidRPr="00A34CD9" w:rsidRDefault="00280743" w:rsidP="00123368">
      <w:pPr>
        <w:suppressLineNumbers/>
        <w:spacing w:line="276" w:lineRule="auto"/>
        <w:rPr>
          <w:rFonts w:cstheme="minorHAnsi"/>
          <w:b/>
          <w:bCs/>
          <w:lang w:val="en-GB"/>
        </w:rPr>
        <w:sectPr w:rsidR="00280743" w:rsidRPr="00A34CD9" w:rsidSect="00E32546">
          <w:pgSz w:w="16838" w:h="11906" w:orient="landscape"/>
          <w:pgMar w:top="851" w:right="1417" w:bottom="1701" w:left="1417" w:header="708" w:footer="708" w:gutter="0"/>
          <w:lnNumType w:countBy="1" w:restart="continuous"/>
          <w:cols w:space="708"/>
          <w:docGrid w:linePitch="360"/>
        </w:sectPr>
      </w:pPr>
    </w:p>
    <w:p w14:paraId="1ED985CE" w14:textId="779BBB41" w:rsidR="00FF56F7" w:rsidRPr="00A34CD9" w:rsidRDefault="002A078C" w:rsidP="00123368">
      <w:pPr>
        <w:suppressLineNumbers/>
        <w:spacing w:line="276" w:lineRule="auto"/>
        <w:jc w:val="both"/>
        <w:rPr>
          <w:rFonts w:cstheme="minorHAnsi"/>
          <w:lang w:val="en-GB"/>
        </w:rPr>
      </w:pPr>
      <w:r w:rsidRPr="00A34CD9">
        <w:rPr>
          <w:rFonts w:cstheme="minorHAnsi"/>
          <w:b/>
          <w:bCs/>
          <w:lang w:val="en-GB"/>
        </w:rPr>
        <w:lastRenderedPageBreak/>
        <w:t>Figure 5.</w:t>
      </w:r>
      <w:r w:rsidRPr="00A34CD9">
        <w:rPr>
          <w:rFonts w:cstheme="minorHAnsi"/>
          <w:lang w:val="en-GB"/>
        </w:rPr>
        <w:t xml:space="preserve"> </w:t>
      </w:r>
      <w:bookmarkStart w:id="30" w:name="_Hlk101525418"/>
      <w:r w:rsidR="00372D0D" w:rsidRPr="00A34CD9">
        <w:rPr>
          <w:rFonts w:cstheme="minorHAnsi"/>
          <w:lang w:val="en-GB"/>
        </w:rPr>
        <w:t>Productivity</w:t>
      </w:r>
      <w:r w:rsidR="00505FCD" w:rsidRPr="00A34CD9">
        <w:rPr>
          <w:rFonts w:cstheme="minorHAnsi"/>
          <w:lang w:val="en-GB"/>
        </w:rPr>
        <w:t>-</w:t>
      </w:r>
      <w:r w:rsidR="00372D0D" w:rsidRPr="00A34CD9">
        <w:rPr>
          <w:rFonts w:cstheme="minorHAnsi"/>
          <w:lang w:val="en-GB"/>
        </w:rPr>
        <w:t>Susceptibility Analysis (PSA)</w:t>
      </w:r>
      <w:r w:rsidR="00791782" w:rsidRPr="00A34CD9">
        <w:rPr>
          <w:rFonts w:cstheme="minorHAnsi"/>
          <w:lang w:val="en-GB"/>
        </w:rPr>
        <w:t xml:space="preserve"> </w:t>
      </w:r>
      <w:bookmarkEnd w:id="30"/>
      <w:r w:rsidR="00791782" w:rsidRPr="00A34CD9">
        <w:rPr>
          <w:rFonts w:cstheme="minorHAnsi"/>
          <w:lang w:val="en-GB"/>
        </w:rPr>
        <w:t>plot</w:t>
      </w:r>
      <w:r w:rsidR="00DA3059" w:rsidRPr="00A34CD9">
        <w:rPr>
          <w:rFonts w:cstheme="minorHAnsi"/>
          <w:lang w:val="en-GB"/>
        </w:rPr>
        <w:t xml:space="preserve"> </w:t>
      </w:r>
      <w:r w:rsidR="00791782" w:rsidRPr="00A34CD9">
        <w:rPr>
          <w:rFonts w:cstheme="minorHAnsi"/>
          <w:lang w:val="en-GB"/>
        </w:rPr>
        <w:t>for</w:t>
      </w:r>
      <w:r w:rsidR="006B1399" w:rsidRPr="00A34CD9">
        <w:rPr>
          <w:rFonts w:cstheme="minorHAnsi"/>
          <w:lang w:val="en-GB"/>
        </w:rPr>
        <w:t xml:space="preserve"> great shearwater </w:t>
      </w:r>
      <w:r w:rsidR="00DD58EB" w:rsidRPr="00A34CD9">
        <w:rPr>
          <w:rFonts w:cstheme="minorHAnsi"/>
          <w:lang w:val="en-GB"/>
        </w:rPr>
        <w:t xml:space="preserve">and the </w:t>
      </w:r>
      <w:r w:rsidR="007518B1" w:rsidRPr="00A34CD9">
        <w:rPr>
          <w:rFonts w:cstheme="minorHAnsi"/>
          <w:lang w:val="en-GB"/>
        </w:rPr>
        <w:t>gears</w:t>
      </w:r>
      <w:r w:rsidR="00DD58EB" w:rsidRPr="00A34CD9">
        <w:rPr>
          <w:rFonts w:cstheme="minorHAnsi"/>
          <w:lang w:val="en-GB"/>
        </w:rPr>
        <w:t xml:space="preserve"> of the </w:t>
      </w:r>
      <w:r w:rsidR="00A34CD9" w:rsidRPr="00A34CD9">
        <w:rPr>
          <w:rFonts w:cstheme="minorHAnsi"/>
          <w:lang w:val="en-GB"/>
        </w:rPr>
        <w:t>Spanish</w:t>
      </w:r>
      <w:r w:rsidR="00DD58EB" w:rsidRPr="00A34CD9">
        <w:rPr>
          <w:rFonts w:cstheme="minorHAnsi"/>
          <w:lang w:val="en-GB"/>
        </w:rPr>
        <w:t xml:space="preserve"> artisanal tuna fishery fishing fleet, </w:t>
      </w:r>
      <w:proofErr w:type="spellStart"/>
      <w:r w:rsidR="00791782" w:rsidRPr="00A34CD9">
        <w:rPr>
          <w:rFonts w:cstheme="minorHAnsi"/>
          <w:lang w:val="en-GB"/>
        </w:rPr>
        <w:t>baitboats</w:t>
      </w:r>
      <w:proofErr w:type="spellEnd"/>
      <w:r w:rsidR="00791782" w:rsidRPr="00A34CD9">
        <w:rPr>
          <w:rFonts w:cstheme="minorHAnsi"/>
          <w:lang w:val="en-GB"/>
        </w:rPr>
        <w:t xml:space="preserve"> (LHP) and trollers (LTL)</w:t>
      </w:r>
      <w:r w:rsidR="000A08AF" w:rsidRPr="00A34CD9">
        <w:rPr>
          <w:rFonts w:cstheme="minorHAnsi"/>
          <w:lang w:val="en-GB"/>
        </w:rPr>
        <w:t>. The x-axis scores derived from the Fecundity Factor Index</w:t>
      </w:r>
      <w:r w:rsidR="00803E28" w:rsidRPr="00A34CD9">
        <w:rPr>
          <w:rFonts w:cstheme="minorHAnsi"/>
          <w:lang w:val="en-GB"/>
        </w:rPr>
        <w:t xml:space="preserve"> from Waugh et al. </w:t>
      </w:r>
      <w:r w:rsidR="006A5773" w:rsidRPr="00A34CD9">
        <w:rPr>
          <w:rFonts w:cstheme="minorHAnsi"/>
          <w:lang w:val="en-GB"/>
        </w:rPr>
        <w:t>(</w:t>
      </w:r>
      <w:r w:rsidR="00803E28" w:rsidRPr="00A34CD9">
        <w:rPr>
          <w:rFonts w:cstheme="minorHAnsi"/>
          <w:lang w:val="en-GB"/>
        </w:rPr>
        <w:t>2012</w:t>
      </w:r>
      <w:r w:rsidR="006A5773" w:rsidRPr="00A34CD9">
        <w:rPr>
          <w:rFonts w:cstheme="minorHAnsi"/>
          <w:lang w:val="en-GB"/>
        </w:rPr>
        <w:t>)</w:t>
      </w:r>
      <w:r w:rsidR="00E87CA7" w:rsidRPr="00A34CD9">
        <w:rPr>
          <w:rFonts w:cstheme="minorHAnsi"/>
          <w:lang w:val="en-GB"/>
        </w:rPr>
        <w:t xml:space="preserve"> that represents productivity of the species. The y-axis score derives</w:t>
      </w:r>
      <w:r w:rsidR="007518B1" w:rsidRPr="00A34CD9">
        <w:rPr>
          <w:rFonts w:cstheme="minorHAnsi"/>
          <w:lang w:val="en-GB"/>
        </w:rPr>
        <w:t xml:space="preserve"> from attributes that influence the susceptibility of the species to impacts from the different gears.</w:t>
      </w:r>
      <w:r w:rsidR="00B17E3B" w:rsidRPr="00A34CD9">
        <w:rPr>
          <w:rFonts w:cstheme="minorHAnsi"/>
          <w:lang w:val="en-GB"/>
        </w:rPr>
        <w:t xml:space="preserve"> The curved lines divide the PSA plot into thirds,</w:t>
      </w:r>
      <w:r w:rsidR="00FF56F7" w:rsidRPr="00A34CD9">
        <w:rPr>
          <w:rFonts w:cstheme="minorHAnsi"/>
          <w:lang w:val="en-GB"/>
        </w:rPr>
        <w:t xml:space="preserve"> illustrating cut-offs for low</w:t>
      </w:r>
      <w:r w:rsidR="00B17E3B" w:rsidRPr="00A34CD9">
        <w:rPr>
          <w:rFonts w:cstheme="minorHAnsi"/>
          <w:lang w:val="en-GB"/>
        </w:rPr>
        <w:t>-</w:t>
      </w:r>
      <w:r w:rsidR="00FF56F7" w:rsidRPr="00A34CD9">
        <w:rPr>
          <w:rFonts w:cstheme="minorHAnsi"/>
          <w:lang w:val="en-GB"/>
        </w:rPr>
        <w:t>m</w:t>
      </w:r>
      <w:r w:rsidR="00B17E3B" w:rsidRPr="00A34CD9">
        <w:rPr>
          <w:rFonts w:cstheme="minorHAnsi"/>
          <w:lang w:val="en-GB"/>
        </w:rPr>
        <w:t>oderate-</w:t>
      </w:r>
      <w:r w:rsidR="00FF56F7" w:rsidRPr="00A34CD9">
        <w:rPr>
          <w:rFonts w:cstheme="minorHAnsi"/>
          <w:lang w:val="en-GB"/>
        </w:rPr>
        <w:t>high</w:t>
      </w:r>
      <w:r w:rsidR="00B17E3B" w:rsidRPr="00A34CD9">
        <w:rPr>
          <w:rFonts w:cstheme="minorHAnsi"/>
          <w:lang w:val="en-GB"/>
        </w:rPr>
        <w:t xml:space="preserve"> relative potential risk </w:t>
      </w:r>
      <w:r w:rsidR="00FF56F7" w:rsidRPr="00A34CD9">
        <w:rPr>
          <w:rFonts w:cstheme="minorHAnsi"/>
          <w:lang w:val="en-GB"/>
        </w:rPr>
        <w:t>for species</w:t>
      </w:r>
      <w:r w:rsidR="00A41718" w:rsidRPr="00A34CD9">
        <w:rPr>
          <w:rFonts w:cstheme="minorHAnsi"/>
          <w:lang w:val="en-GB"/>
        </w:rPr>
        <w:t>.</w:t>
      </w:r>
    </w:p>
    <w:p w14:paraId="153330E3" w14:textId="77777777" w:rsidR="00616091" w:rsidRDefault="0043168C" w:rsidP="00123368">
      <w:pPr>
        <w:suppressLineNumbers/>
        <w:spacing w:line="276" w:lineRule="auto"/>
        <w:jc w:val="center"/>
        <w:rPr>
          <w:rFonts w:cstheme="minorHAnsi"/>
          <w:b/>
          <w:bCs/>
          <w:lang w:val="en-GB"/>
        </w:rPr>
        <w:sectPr w:rsidR="00616091" w:rsidSect="00477225">
          <w:pgSz w:w="11906" w:h="16838"/>
          <w:pgMar w:top="1417" w:right="1701" w:bottom="1417" w:left="1701" w:header="708" w:footer="708" w:gutter="0"/>
          <w:lnNumType w:countBy="1" w:restart="continuous"/>
          <w:cols w:space="708"/>
          <w:docGrid w:linePitch="360"/>
        </w:sectPr>
      </w:pPr>
      <w:r w:rsidRPr="00A34CD9">
        <w:rPr>
          <w:noProof/>
          <w:lang w:val="en-GB"/>
        </w:rPr>
        <w:drawing>
          <wp:inline distT="0" distB="0" distL="0" distR="0" wp14:anchorId="0F0012FB" wp14:editId="5D76DF0C">
            <wp:extent cx="3729162" cy="37291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731210" cy="3731210"/>
                    </a:xfrm>
                    <a:prstGeom prst="rect">
                      <a:avLst/>
                    </a:prstGeom>
                    <a:noFill/>
                    <a:ln>
                      <a:noFill/>
                    </a:ln>
                  </pic:spPr>
                </pic:pic>
              </a:graphicData>
            </a:graphic>
          </wp:inline>
        </w:drawing>
      </w:r>
    </w:p>
    <w:p w14:paraId="7944A544" w14:textId="4465D1C8" w:rsidR="00696FDB" w:rsidRPr="00A34CD9" w:rsidRDefault="00696FDB" w:rsidP="00123368">
      <w:pPr>
        <w:suppressLineNumbers/>
        <w:jc w:val="both"/>
        <w:rPr>
          <w:rFonts w:cstheme="minorHAnsi"/>
          <w:lang w:val="en-GB"/>
        </w:rPr>
      </w:pPr>
      <w:r w:rsidRPr="00A34CD9">
        <w:rPr>
          <w:rFonts w:cstheme="minorHAnsi"/>
          <w:b/>
          <w:bCs/>
          <w:lang w:val="en-GB"/>
        </w:rPr>
        <w:lastRenderedPageBreak/>
        <w:t>Figure 6</w:t>
      </w:r>
      <w:r w:rsidRPr="00A34CD9">
        <w:rPr>
          <w:rFonts w:cstheme="minorHAnsi"/>
          <w:lang w:val="en-GB"/>
        </w:rPr>
        <w:t xml:space="preserve">. </w:t>
      </w:r>
      <w:r w:rsidR="001A3E67" w:rsidRPr="00A34CD9">
        <w:rPr>
          <w:rFonts w:cstheme="minorHAnsi"/>
          <w:lang w:val="en-GB"/>
        </w:rPr>
        <w:t>Potential r</w:t>
      </w:r>
      <w:r w:rsidR="00505FCD" w:rsidRPr="00A34CD9">
        <w:rPr>
          <w:rFonts w:cstheme="minorHAnsi"/>
          <w:lang w:val="en-GB"/>
        </w:rPr>
        <w:t xml:space="preserve">isk scores from the Productivity-Susceptibility Analysis (PSA) </w:t>
      </w:r>
      <w:r w:rsidR="003B3953" w:rsidRPr="00A34CD9">
        <w:rPr>
          <w:rFonts w:cstheme="minorHAnsi"/>
          <w:lang w:val="en-GB"/>
        </w:rPr>
        <w:t xml:space="preserve">for the metiers of the artisanal tuna fishing fleet a) </w:t>
      </w:r>
      <w:proofErr w:type="spellStart"/>
      <w:r w:rsidR="003B3953" w:rsidRPr="00A34CD9">
        <w:rPr>
          <w:rFonts w:cstheme="minorHAnsi"/>
          <w:lang w:val="en-GB"/>
        </w:rPr>
        <w:t>baitboats</w:t>
      </w:r>
      <w:proofErr w:type="spellEnd"/>
      <w:r w:rsidR="003B3953" w:rsidRPr="00A34CD9">
        <w:rPr>
          <w:rFonts w:cstheme="minorHAnsi"/>
          <w:lang w:val="en-GB"/>
        </w:rPr>
        <w:t xml:space="preserve"> (LHP), and b) trollers</w:t>
      </w:r>
      <w:r w:rsidR="00123368">
        <w:rPr>
          <w:rFonts w:cstheme="minorHAnsi"/>
          <w:lang w:val="en-GB"/>
        </w:rPr>
        <w:t xml:space="preserve"> (LTL)</w:t>
      </w:r>
      <w:r w:rsidR="003B3953" w:rsidRPr="00A34CD9">
        <w:rPr>
          <w:rFonts w:cstheme="minorHAnsi"/>
          <w:lang w:val="en-GB"/>
        </w:rPr>
        <w:t xml:space="preserve"> and great shearwaters </w:t>
      </w:r>
      <w:r w:rsidRPr="00A34CD9">
        <w:rPr>
          <w:rFonts w:cstheme="minorHAnsi"/>
          <w:lang w:val="en-GB"/>
        </w:rPr>
        <w:t>during the time-series 2013-2019</w:t>
      </w:r>
      <w:r w:rsidR="001A3E67" w:rsidRPr="00A34CD9">
        <w:rPr>
          <w:rFonts w:cstheme="minorHAnsi"/>
          <w:lang w:val="en-GB"/>
        </w:rPr>
        <w:t>.</w:t>
      </w:r>
      <w:r w:rsidR="00AC4C43">
        <w:rPr>
          <w:rFonts w:cstheme="minorHAnsi"/>
          <w:lang w:val="en-GB"/>
        </w:rPr>
        <w:t xml:space="preserve"> </w:t>
      </w:r>
      <w:r w:rsidR="00AC4C43" w:rsidRPr="00AC4C43">
        <w:rPr>
          <w:rFonts w:cstheme="minorHAnsi"/>
          <w:noProof/>
          <w:lang w:val="en-GB"/>
        </w:rPr>
        <w:t>Bathymetry contours indicate the</w:t>
      </w:r>
      <w:r w:rsidR="00AC4C43">
        <w:rPr>
          <w:rFonts w:cstheme="minorHAnsi"/>
          <w:noProof/>
          <w:lang w:val="en-GB"/>
        </w:rPr>
        <w:t xml:space="preserve"> 50 m isobath and the</w:t>
      </w:r>
      <w:r w:rsidR="00AC4C43" w:rsidRPr="00AC4C43">
        <w:rPr>
          <w:rFonts w:cstheme="minorHAnsi"/>
          <w:noProof/>
          <w:lang w:val="en-GB"/>
        </w:rPr>
        <w:t xml:space="preserve"> edge of the continental shelf.</w:t>
      </w:r>
    </w:p>
    <w:p w14:paraId="040D2E00" w14:textId="77777777" w:rsidR="00065CFD" w:rsidRDefault="00696FDB" w:rsidP="00123368">
      <w:pPr>
        <w:suppressLineNumbers/>
        <w:jc w:val="center"/>
        <w:rPr>
          <w:rFonts w:eastAsia="Times New Roman" w:cstheme="minorHAnsi"/>
          <w:lang w:val="en-GB"/>
        </w:rPr>
        <w:sectPr w:rsidR="00065CFD" w:rsidSect="00616091">
          <w:pgSz w:w="16838" w:h="11906" w:orient="landscape"/>
          <w:pgMar w:top="1080" w:right="1440" w:bottom="1080" w:left="1440" w:header="708" w:footer="708" w:gutter="0"/>
          <w:lnNumType w:countBy="1" w:restart="continuous"/>
          <w:cols w:space="720"/>
          <w:docGrid w:linePitch="299"/>
        </w:sectPr>
      </w:pPr>
      <w:r w:rsidRPr="00A34CD9">
        <w:rPr>
          <w:rFonts w:cstheme="minorHAnsi"/>
          <w:b/>
          <w:bCs/>
          <w:noProof/>
          <w:lang w:val="en-GB"/>
        </w:rPr>
        <w:drawing>
          <wp:inline distT="0" distB="0" distL="0" distR="0" wp14:anchorId="3B3E566D" wp14:editId="06A635F7">
            <wp:extent cx="7326526" cy="5220000"/>
            <wp:effectExtent l="0" t="0" r="0" b="0"/>
            <wp:docPr id="9" name="Imagen 9"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Aplicación&#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26526" cy="5220000"/>
                    </a:xfrm>
                    <a:prstGeom prst="rect">
                      <a:avLst/>
                    </a:prstGeom>
                  </pic:spPr>
                </pic:pic>
              </a:graphicData>
            </a:graphic>
          </wp:inline>
        </w:drawing>
      </w:r>
    </w:p>
    <w:p w14:paraId="1E8DF322" w14:textId="75C03B06" w:rsidR="008A4F36" w:rsidRDefault="002817ED" w:rsidP="002817ED">
      <w:pPr>
        <w:pStyle w:val="Ttulo1"/>
        <w:suppressLineNumbers/>
        <w:spacing w:line="360" w:lineRule="auto"/>
        <w:jc w:val="both"/>
        <w:rPr>
          <w:rFonts w:asciiTheme="minorHAnsi" w:hAnsiTheme="minorHAnsi" w:cstheme="minorHAnsi"/>
          <w:lang w:val="en-GB"/>
        </w:rPr>
      </w:pPr>
      <w:r>
        <w:rPr>
          <w:rFonts w:asciiTheme="minorHAnsi" w:hAnsiTheme="minorHAnsi" w:cstheme="minorHAnsi"/>
          <w:lang w:val="en-GB"/>
        </w:rPr>
        <w:lastRenderedPageBreak/>
        <w:t>SUPPLEMENTARY MATERIAL</w:t>
      </w:r>
    </w:p>
    <w:p w14:paraId="543F539F" w14:textId="77777777" w:rsidR="0097669A" w:rsidRPr="00537527" w:rsidRDefault="0097669A" w:rsidP="0097669A">
      <w:pPr>
        <w:pStyle w:val="Ttulo1"/>
        <w:jc w:val="center"/>
        <w:rPr>
          <w:rFonts w:asciiTheme="minorHAnsi" w:eastAsia="Times New Roman" w:hAnsiTheme="minorHAnsi" w:cstheme="minorHAnsi"/>
          <w:b w:val="0"/>
          <w:bCs w:val="0"/>
          <w:lang w:val="en-GB"/>
        </w:rPr>
      </w:pPr>
      <w:r w:rsidRPr="00537527">
        <w:rPr>
          <w:rFonts w:asciiTheme="minorHAnsi" w:eastAsia="Times New Roman" w:hAnsiTheme="minorHAnsi" w:cstheme="minorHAnsi"/>
          <w:lang w:val="en-GB"/>
        </w:rPr>
        <w:t>A. Environmental data</w:t>
      </w:r>
    </w:p>
    <w:p w14:paraId="3C466811" w14:textId="77777777" w:rsidR="0097669A" w:rsidRPr="00537527" w:rsidRDefault="0097669A" w:rsidP="0097669A">
      <w:pPr>
        <w:rPr>
          <w:rFonts w:eastAsia="Times New Roman" w:cstheme="minorHAnsi"/>
          <w:b/>
          <w:bCs/>
          <w:lang w:val="en-GB"/>
        </w:rPr>
      </w:pPr>
      <w:r w:rsidRPr="00537527">
        <w:rPr>
          <w:rFonts w:eastAsia="Times New Roman" w:cstheme="minorHAnsi"/>
          <w:b/>
          <w:bCs/>
          <w:lang w:val="en-GB"/>
        </w:rPr>
        <w:t>Prey descriptors</w:t>
      </w:r>
    </w:p>
    <w:p w14:paraId="74132279" w14:textId="77777777" w:rsidR="0097669A" w:rsidRPr="00537527" w:rsidRDefault="0097669A" w:rsidP="0097669A">
      <w:pPr>
        <w:spacing w:line="276" w:lineRule="auto"/>
        <w:jc w:val="both"/>
        <w:rPr>
          <w:rFonts w:cstheme="minorHAnsi"/>
          <w:noProof/>
          <w:lang w:val="en-GB"/>
        </w:rPr>
      </w:pPr>
      <w:r w:rsidRPr="00537527">
        <w:rPr>
          <w:rFonts w:cstheme="minorHAnsi"/>
          <w:noProof/>
          <w:lang w:val="en-GB"/>
        </w:rPr>
        <w:t xml:space="preserve">The acoustic equipment included Simrad EK60 split-beam echosounders (Kongsberg Simrad) of 38, 120 and 200 kHz </w:t>
      </w:r>
      <w:r w:rsidRPr="00537527">
        <w:rPr>
          <w:rFonts w:cstheme="minorHAnsi"/>
          <w:noProof/>
          <w:lang w:val="en-GB"/>
        </w:rPr>
        <w:fldChar w:fldCharType="begin" w:fldLock="1"/>
      </w:r>
      <w:r w:rsidRPr="00537527">
        <w:rPr>
          <w:rFonts w:cstheme="minorHAnsi"/>
          <w:noProof/>
          <w:lang w:val="en-GB"/>
        </w:rPr>
        <w:instrText>ADDIN CSL_CITATION {"citationItems":[{"id":"ITEM-1","itemData":{"DOI":"10.1093/icesjms/fst096","ISSN":"10543139","abstract":"Abstract Boyra, G., Mart{í}nez, U., Cotano, U., Santos, M., Irigoien, X., and Uriarte, A. 2013. Acoustic surveys for juvenile anchovy in the Bay of Biscay : abundance estimate as an indicator of the next year's recruitment and spatial distribution patterns .--ICES Journal of ... \\n","author":[{"dropping-particle":"","family":"Boyra","given":"G.","non-dropping-particle":"","parse-names":false,"suffix":""},{"dropping-particle":"","family":"Martínez","given":"U.","non-dropping-particle":"","parse-names":false,"suffix":""},{"dropping-particle":"","family":"Cotano","given":"U.","non-dropping-particle":"","parse-names":false,"suffix":""},{"dropping-particle":"","family":"Santos","given":"M.","non-dropping-particle":"","parse-names":false,"suffix":""},{"dropping-particle":"","family":"Irigoien","given":"X.","non-dropping-particle":"","parse-names":false,"suffix":""},{"dropping-particle":"","family":"Uriarte","given":"A.","non-dropping-particle":"","parse-names":false,"suffix":""}],"container-title":"ICES Journal of Marine Science","id":"ITEM-1","issue":"7","issued":{"date-parts":[["2013"]]},"page":"1354-1368","title":"Acoustic surveys for juvenile anchovy in the Bay of Biscay: Abundance estimate as an indicator of the next year's recruitment and spatial distribution patterns","type":"article-journal","volume":"70"},"uris":["http://www.mendeley.com/documents/?uuid=c5ec39a0-334e-353e-826b-146708de48b3"]}],"mendeley":{"formattedCitation":"(Boyra et al., 2013)","plainTextFormattedCitation":"(Boyra et al., 2013)","previouslyFormattedCitation":"(Boyra &lt;i&gt;et al.&lt;/i&gt;, 2013)"},"properties":{"noteIndex":0},"schema":"https://github.com/citation-style-language/schema/raw/master/csl-citation.json"}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(Boyra et al., 2013)</w:t>
      </w:r>
      <w:r w:rsidRPr="00537527">
        <w:rPr>
          <w:rFonts w:cstheme="minorHAnsi"/>
          <w:noProof/>
          <w:lang w:val="en-GB"/>
        </w:rPr>
        <w:fldChar w:fldCharType="end"/>
      </w:r>
      <w:r w:rsidRPr="00537527">
        <w:rPr>
          <w:rFonts w:cstheme="minorHAnsi"/>
          <w:noProof/>
          <w:lang w:val="en-GB"/>
        </w:rPr>
        <w:t xml:space="preserve">. Echo-trace characteristics and catches from the fishing hauls were used to identify fish species and to determine the population size structure. Biomass values (in tonnes) per ESDU (Echo integration Sampling Distance Unit) of 0.1 nmi were obtained by multiplying the abundance in number of individuals by the mean weight </w:t>
      </w:r>
      <w:r w:rsidRPr="00537527">
        <w:rPr>
          <w:rFonts w:cstheme="minorHAnsi"/>
          <w:noProof/>
          <w:lang w:val="en-GB"/>
        </w:rPr>
        <w:fldChar w:fldCharType="begin" w:fldLock="1"/>
      </w:r>
      <w:r w:rsidRPr="00537527">
        <w:rPr>
          <w:rFonts w:cstheme="minorHAnsi"/>
          <w:noProof/>
          <w:lang w:val="en-GB"/>
        </w:rPr>
        <w:instrText>ADDIN CSL_CITATION {"citationItems":[{"id":"ITEM-1","itemData":{"DOI":"10.1093/icesjms/fst096","ISSN":"10543139","abstract":"Abstract Boyra, G., Mart{í}nez, U., Cotano, U., Santos, M., Irigoien, X., and Uriarte, A. 2013. Acoustic surveys for juvenile anchovy in the Bay of Biscay : abundance estimate as an indicator of the next year's recruitment and spatial distribution patterns .--ICES Journal of ... \\n","author":[{"dropping-particle":"","family":"Boyra","given":"G.","non-dropping-particle":"","parse-names":false,"suffix":""},{"dropping-particle":"","family":"Martínez","given":"U.","non-dropping-particle":"","parse-names":false,"suffix":""},{"dropping-particle":"","family":"Cotano","given":"U.","non-dropping-particle":"","parse-names":false,"suffix":""},{"dropping-particle":"","family":"Santos","given":"M.","non-dropping-particle":"","parse-names":false,"suffix":""},{"dropping-particle":"","family":"Irigoien","given":"X.","non-dropping-particle":"","parse-names":false,"suffix":""},{"dropping-particle":"","family":"Uriarte","given":"A.","non-dropping-particle":"","parse-names":false,"suffix":""}],"container-title":"ICES Journal of Marine Science","id":"ITEM-1","issue":"7","issued":{"date-parts":[["2013"]]},"page":"1354-1368","title":"Acoustic surveys for juvenile anchovy in the Bay of Biscay: Abundance estimate as an indicator of the next year's recruitment and spatial distribution patterns","type":"article-journal","volume":"70"},"uris":["http://www.mendeley.com/documents/?uuid=c5ec39a0-334e-353e-826b-146708de48b3"]}],"mendeley":{"formattedCitation":"(Boyra et al., 2013)","plainTextFormattedCitation":"(Boyra et al., 2013)","previouslyFormattedCitation":"(Boyra &lt;i&gt;et al.&lt;/i&gt;, 2013)"},"properties":{"noteIndex":0},"schema":"https://github.com/citation-style-language/schema/raw/master/csl-citation.json"}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(Boyra et al., 2013)</w:t>
      </w:r>
      <w:r w:rsidRPr="00537527">
        <w:rPr>
          <w:rFonts w:cstheme="minorHAnsi"/>
          <w:noProof/>
          <w:lang w:val="en-GB"/>
        </w:rPr>
        <w:fldChar w:fldCharType="end"/>
      </w:r>
      <w:r w:rsidRPr="00537527">
        <w:rPr>
          <w:rFonts w:cstheme="minorHAnsi"/>
          <w:noProof/>
          <w:lang w:val="en-GB"/>
        </w:rPr>
        <w:t>.</w:t>
      </w:r>
    </w:p>
    <w:p w14:paraId="1D1E750B" w14:textId="77777777" w:rsidR="0097669A" w:rsidRPr="00537527" w:rsidRDefault="0097669A" w:rsidP="0097669A">
      <w:pPr>
        <w:rPr>
          <w:rFonts w:eastAsia="Times New Roman" w:cstheme="minorHAnsi"/>
          <w:b/>
          <w:bCs/>
          <w:lang w:val="en-GB"/>
        </w:rPr>
      </w:pPr>
    </w:p>
    <w:p w14:paraId="347CEEDA" w14:textId="77777777" w:rsidR="0097669A" w:rsidRPr="00537527" w:rsidRDefault="0097669A" w:rsidP="0097669A">
      <w:pPr>
        <w:rPr>
          <w:rFonts w:eastAsia="Times New Roman" w:cstheme="minorHAnsi"/>
          <w:b/>
          <w:bCs/>
          <w:lang w:val="en-GB"/>
        </w:rPr>
      </w:pPr>
      <w:r w:rsidRPr="00537527">
        <w:rPr>
          <w:rFonts w:eastAsia="Times New Roman" w:cstheme="minorHAnsi"/>
          <w:b/>
          <w:bCs/>
          <w:lang w:val="en-GB"/>
        </w:rPr>
        <w:t>Oceanographic descriptors</w:t>
      </w:r>
    </w:p>
    <w:p w14:paraId="37E40274" w14:textId="77777777" w:rsidR="0097669A" w:rsidRPr="00537527" w:rsidRDefault="0097669A" w:rsidP="0097669A">
      <w:pPr>
        <w:spacing w:line="276" w:lineRule="auto"/>
        <w:jc w:val="both"/>
        <w:rPr>
          <w:rFonts w:cstheme="minorHAnsi"/>
          <w:noProof/>
          <w:lang w:val="en-GB"/>
        </w:rPr>
      </w:pPr>
      <w:r w:rsidRPr="00537527">
        <w:rPr>
          <w:rFonts w:cstheme="minorHAnsi"/>
          <w:noProof/>
          <w:lang w:val="en-GB"/>
        </w:rPr>
        <w:t xml:space="preserve">CTD casts using a SBE25 and a SBE911 on the R/V EB and RM, respectively were used to obtain vertical profiles of temperature (TEM) and salinity (SAL) at selected stations along transects. Based on these vertical profiles, density values (or specific volume) were obtained and integrated over depth to obtain the dynamic height relative to the next vertical, following the approach described in  </w:t>
      </w:r>
      <w:r w:rsidRPr="00537527">
        <w:rPr>
          <w:rFonts w:cstheme="minorHAnsi"/>
          <w:noProof/>
          <w:lang w:val="en-GB"/>
        </w:rPr>
        <w:fldChar w:fldCharType="begin" w:fldLock="1"/>
      </w:r>
      <w:r w:rsidRPr="00537527">
        <w:rPr>
          <w:rFonts w:cstheme="minorHAnsi"/>
          <w:noProof/>
          <w:lang w:val="en-GB"/>
        </w:rPr>
        <w:instrText>ADDIN CSL_CITATION {"citationItems":[{"id":"ITEM-1","itemData":{"DOI":"10.1016/j.jmarsys.2008.11.009","ISSN":"09247963","abstract":"Inferring geostrophic velocity fields from CTD data distributions can be handicapped by the impossibility of referring dynamic height to a no-motion level. This is often the case over the continental shelf, but also at open sea, even when velocity measurements (e.g. from a vessel mounted ADCP) are available. In this paper we test and compare four different methods aimed to estimate the geostrophic and total velocity fields from hydrodynamical data. Two of them can either use only CTD data (then relying on the election of a no-motion level) or incorporate ADCP data (through a multivariate interpolation); the other two methods always combine CTD and ADCP data. A 3D primitive equation model is used to reproduce realistic scenarios that provide control velocity fields and typical CTD and ADCP data profiles. The chosen scenarios represent different dynamic situations (in terms of data quality, bathymetric constrictions and dynamical characteristics such as the relative ageostrophic/geostrophic velocity variance) and make possible a broad discussion on the capabilities and limitations of the examined methods. Results show that the performance of the methods is highly dependent on the dynamics to be resolved. The combination of CTD and ADCP data constitutes the best approach for most of the analyzed situations, though special attention has to be paid when dealing with low quality ADCP data and when the circulation is characterized by intense non-divergent ageostrophic velocities. © 2008 Elsevier B.V. All rights reserved.","author":[{"dropping-particle":"","family":"Rubio","given":"Anna","non-dropping-particle":"","parse-names":false,"suffix":""},{"dropping-particle":"","family":"Gomis","given":"Damià","non-dropping-particle":"","parse-names":false,"suffix":""},{"dropping-particle":"","family":"Jordà","given":"Gabriel","non-dropping-particle":"","parse-names":false,"suffix":""},{"dropping-particle":"","family":"Espino","given":"Manuel","non-dropping-particle":"","parse-names":false,"suffix":""}],"container-title":"Journal of Marine Systems","id":"ITEM-1","issue":"1-2","issued":{"date-parts":[["2009"]]},"page":"61-76","title":"Estimating geostrophic and total velocities from CTD and ADCP data: Intercomparison of different methods","type":"article-journal","volume":"77"},"uris":["http://www.mendeley.com/documents/?uuid=3f99feeb-216c-3155-9f0d-e6c724c26052"]}],"mendeley":{"formattedCitation":"(Rubio et al., 2009)","manualFormatting":"Rubio et al. (2009)","plainTextFormattedCitation":"(Rubio et al., 2009)","previouslyFormattedCitation":"(Rubio et al., 2009)"},"properties":{"noteIndex":0},"schema":"https://github.com/citation-style-language/schema/raw/master/csl-citation.json"}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Rubio et al. (2009)</w:t>
      </w:r>
      <w:r w:rsidRPr="00537527">
        <w:rPr>
          <w:rFonts w:cstheme="minorHAnsi"/>
          <w:noProof/>
          <w:lang w:val="en-GB"/>
        </w:rPr>
        <w:fldChar w:fldCharType="end"/>
      </w:r>
      <w:r w:rsidRPr="00537527">
        <w:rPr>
          <w:rFonts w:cstheme="minorHAnsi"/>
          <w:noProof/>
          <w:lang w:val="en-GB"/>
        </w:rPr>
        <w:t xml:space="preserve">. Once dynamic height was interpolated over the study area, geostrophic velocity values (GVel) were obtained (further methodological details below). </w:t>
      </w:r>
    </w:p>
    <w:p w14:paraId="413EED23" w14:textId="77777777" w:rsidR="0097669A" w:rsidRPr="00537527" w:rsidRDefault="0097669A" w:rsidP="0097669A">
      <w:pPr>
        <w:spacing w:line="276" w:lineRule="auto"/>
        <w:jc w:val="both"/>
        <w:rPr>
          <w:rFonts w:cstheme="minorHAnsi"/>
          <w:noProof/>
          <w:lang w:val="en-GB"/>
        </w:rPr>
      </w:pPr>
      <w:r w:rsidRPr="00537527">
        <w:rPr>
          <w:rFonts w:cstheme="minorHAnsi"/>
          <w:noProof/>
          <w:lang w:val="en-GB"/>
        </w:rPr>
        <w:t xml:space="preserve">To characterise water column stability, the depth of maximum temperature gradient (DTG) was computed by adjusting the vertical profiles of TEM to a logistic function following the methodology used in </w:t>
      </w:r>
      <w:r w:rsidRPr="00537527">
        <w:rPr>
          <w:rFonts w:cstheme="minorHAnsi"/>
          <w:noProof/>
          <w:lang w:val="en-GB"/>
        </w:rPr>
        <w:fldChar w:fldCharType="begin" w:fldLock="1"/>
      </w:r>
      <w:r w:rsidRPr="00537527">
        <w:rPr>
          <w:rFonts w:cstheme="minorHAnsi"/>
          <w:noProof/>
          <w:lang w:val="en-GB"/>
        </w:rPr>
        <w:instrText>ADDIN CSL_CITATION {"citationItems":[{"id":"ITEM-1","itemData":{"DOI":"10.1016/j.jmarsys.2016.04.001","ISSN":"09247963","abstract":"The analysis of deep-water glider hydrographic and fluorescence data, together with satellite measurements provides a new insight into eddy-induced anomalies within the South-Eastern Bay of Biscay, during summer. Two cyclonic eddies and a SWODDY have been observed in different glider transects and by means of different sources of satellite data. Vertical profiles reveal complex structures (characteristic of the second baroclinic mode): upward/downward displacement of the seasonal/permanent thermocline in the case of X13 and the opposite thermocline displacements in the case of the cyclones. This is a typical behaviour of mode-water and “cyclonic thinny” eddies. A qualitative analysis of the vertical velocities in the anticyclone indicates that though geostrophy dominates the main water column, depressing the isopycnals, near the sea-surface the eddy-wind interaction affects the vertical currents, favouring Ekman pumping and upwelling. The analysis of the Θ-S properties corroborates that inside cyclones and between the 26 and 27 isopycnals, net downwelling occurs. These two types of intra-thermocline lenses appear to deeply impact the Chl-a fluorescence profiles, since the maximum Chl-a fluorescence is located just below the seasonal thermocline. The mean Chl-a fluorescence was higher in the anticyclone than within the cyclones and the mean for the entire study period; the highest values were observed in the centre of the anticyclone. These results are in agreement with previous findings concerning the SWODDY F90 and surrounding cyclones, located in the South-Western Bay of Biscay. Significant differences in the Θ-S properties of the two cyclonic mesoscale structures have been observed: higher temperatures and lower salinity in the easternmost cyclone. Finally, time variation of the salinity content of the shallowest water masses of the anticyclone (salinity decreasing over time), probably indicates advective mixing processes occurred during the mission.","author":[{"dropping-particle":"","family":"Caballero","given":"Ainhoa","non-dropping-particle":"","parse-names":false,"suffix":""},{"dropping-particle":"","family":"Rubio","given":"Anna","non-dropping-particle":"","parse-names":false,"suffix":""},{"dropping-particle":"","family":"Ruiz","given":"Simón","non-dropping-particle":"","parse-names":false,"suffix":""},{"dropping-particle":"","family":"Cann","given":"Bernard","non-dropping-particle":"Le","parse-names":false,"suffix":""},{"dropping-particle":"","family":"Testor","given":"Pierre","non-dropping-particle":"","parse-names":false,"suffix":""},{"dropping-particle":"","family":"Mader","given":"Julien","non-dropping-particle":"","parse-names":false,"suffix":""},{"dropping-particle":"","family":"Hernández","given":"Carlos","non-dropping-particle":"","parse-names":false,"suffix":""}],"container-title":"Journal of Marine Systems","id":"ITEM-1","issued":{"date-parts":[["2016"]]},"page":"57-72","title":"South-Eastern Bay of Biscay eddy-induced anomalies and their effect on chlorophyll distribution","type":"article-journal","volume":"162"},"uris":["http://www.mendeley.com/documents/?uuid=b2db084f-0105-3fde-af7e-89305635f58b"]}],"mendeley":{"formattedCitation":"(Caballero et al., 2016)","manualFormatting":"Caballero et al. (2016)","plainTextFormattedCitation":"(Caballero et al., 2016)","previouslyFormattedCitation":"(Caballero et al., 2016)"},"properties":{"noteIndex":0},"schema":"https://github.com/citation-style-language/schema/raw/master/csl-citation.json"}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Caballero et al. (2016)</w:t>
      </w:r>
      <w:r w:rsidRPr="00537527">
        <w:rPr>
          <w:rFonts w:cstheme="minorHAnsi"/>
          <w:noProof/>
          <w:lang w:val="en-GB"/>
        </w:rPr>
        <w:fldChar w:fldCharType="end"/>
      </w:r>
      <w:r w:rsidRPr="00537527">
        <w:rPr>
          <w:rFonts w:cstheme="minorHAnsi"/>
          <w:noProof/>
          <w:lang w:val="en-GB"/>
        </w:rPr>
        <w:t>. The inflexion point of the logistic function (determined using the maximum of its first derivative) marks out the mean depth of the most intense gradient within the thermocline. Whilst the maximum temperature gradient (MTG) was calculated using linear differences in the points adjacent to the DTG, which is an indicator of the strength of the water column stratification.</w:t>
      </w:r>
    </w:p>
    <w:p w14:paraId="261C3F1E" w14:textId="77777777" w:rsidR="0097669A" w:rsidRPr="00537527" w:rsidRDefault="0097669A" w:rsidP="0097669A">
      <w:pPr>
        <w:spacing w:line="276" w:lineRule="auto"/>
        <w:jc w:val="both"/>
        <w:rPr>
          <w:rFonts w:cstheme="minorHAnsi"/>
          <w:noProof/>
          <w:lang w:val="en-GB"/>
        </w:rPr>
      </w:pPr>
      <w:r w:rsidRPr="00537527">
        <w:rPr>
          <w:rFonts w:cstheme="minorHAnsi"/>
          <w:noProof/>
          <w:lang w:val="en-GB"/>
        </w:rPr>
        <w:t xml:space="preserve">To obtain horizontal fields of TEM, SAL, dynamic height, DTG and MTG, we used the optimal statistical interpolation (OSI) scheme described in </w:t>
      </w:r>
      <w:r w:rsidRPr="00537527">
        <w:rPr>
          <w:rFonts w:cstheme="minorHAnsi"/>
          <w:noProof/>
          <w:lang w:val="en-GB"/>
        </w:rPr>
        <w:fldChar w:fldCharType="begin" w:fldLock="1"/>
      </w:r>
      <w:r w:rsidRPr="00537527">
        <w:rPr>
          <w:rFonts w:cstheme="minorHAnsi"/>
          <w:noProof/>
          <w:lang w:val="en-GB"/>
        </w:rPr>
        <w:instrText>ADDIN CSL_CITATION {"citationItems":[{"id":"ITEM-1","itemData":{"DOI":"10.1016/S0967-0637(00)00060-1","ISSN":"09670637","abstract":"A multivariate (MV) optimal statistical interpolation method is applied to conductivity-temperature-depth (CTD) and ship-mounted acoustic doppler current profiler (ADCP) data from quasi-synoptic oceanographic surveys. MV analysis aims to improve the spatial interpolation of any particular variable (e.g., dynamic height) by including in the analysis observations of other physically related variables (e.g., current). The version used in this work also provides estimates of the non-divergent and irrotational components of the flow. The method is tested in a sharp frontal region to the north of the Western Alboran gyre. After deriving the optimal analysis parameters, we first show that MV statistical dynamic height analysis errors are significantly smaller than those derived from univariate (UV) analysis. In our region, this translates in a more realistic shape for the geostrophic relative vorticity and the vertical velocity field. The latter peaks at about 45 m/day (as given by the quasi-geostrophic omega equation), with a tendency for light water to be upwelled upstream of the gyre while denser water is downwelled downstream of the gyre. For the horizontal velocity we show the existence of large (up to 40 cm/s) ageostrophic velocities. These are mainly non-divergent and can be explained by the cyclostrophic acceleration induced by the anticyclonic gyre. The irrotational velocity component is of the order of 10 cm/s towards the dense side of the front. The robustness of the method is checked by means of several tests that evaluate the sensitivity of results with respect to the synopticity of the data, the analysis parameters, the reference level and the presence of tidal or inertial currents. (C) 2000 Elsevier Science Ltd.","author":[{"dropping-particle":"","family":"Gomis","given":"D","non-dropping-particle":"","parse-names":false,"suffix":""},{"dropping-particle":"","family":"Ruiz","given":"S","non-dropping-particle":"","parse-names":false,"suffix":""},{"dropping-particle":"","family":"Pedder","given":"M. A.","non-dropping-particle":"","parse-names":false,"suffix":""}],"container-title":"Deep-Sea Research Part I: Oceanographic Research Papers","id":"ITEM-1","issue":"1","issued":{"date-parts":[["2001"]]},"page":"269-295","title":"Diagnostic analysis of the 3D ageostrophic circulation from a multivariate spatial interpolation of CTD and ADCP data","type":"article-journal","volume":"48"},"uris":["http://www.mendeley.com/documents/?uuid=d25b622a-a814-3bfa-8174-eb116efc06c3"]}],"mendeley":{"formattedCitation":"(Gomis et al., 2001)","manualFormatting":"Gomis et al. (2001)","plainTextFormattedCitation":"(Gomis et al., 2001)","previouslyFormattedCitation":"(Gomis et al., 2001)"},"properties":{"noteIndex":0},"schema":"https://github.com/citation-style-language/schema/raw/master/csl-citation.json"}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Gomis et al. (2001)</w:t>
      </w:r>
      <w:r w:rsidRPr="00537527">
        <w:rPr>
          <w:rFonts w:cstheme="minorHAnsi"/>
          <w:noProof/>
          <w:lang w:val="en-GB"/>
        </w:rPr>
        <w:fldChar w:fldCharType="end"/>
      </w:r>
      <w:r w:rsidRPr="00537527">
        <w:rPr>
          <w:rFonts w:cstheme="minorHAnsi"/>
          <w:noProof/>
          <w:lang w:val="en-GB"/>
        </w:rPr>
        <w:t xml:space="preserve"> in a regular 33 × 54 grid, covering all the study area with regular node distances of 0.15 × 0.15°. For TEM, SAL and dynamic heigt horizontal analyses were performed using the data from the vertical profiles at 10m.</w:t>
      </w:r>
    </w:p>
    <w:p w14:paraId="24AE2EDA" w14:textId="77777777" w:rsidR="0097669A" w:rsidRPr="00537527" w:rsidRDefault="0097669A" w:rsidP="0097669A">
      <w:pPr>
        <w:spacing w:line="276" w:lineRule="auto"/>
        <w:jc w:val="both"/>
        <w:rPr>
          <w:rFonts w:cstheme="minorHAnsi"/>
          <w:noProof/>
          <w:lang w:val="en-GB"/>
        </w:rPr>
      </w:pPr>
      <w:r w:rsidRPr="00537527">
        <w:rPr>
          <w:rFonts w:cstheme="minorHAnsi"/>
          <w:noProof/>
          <w:lang w:val="en-GB"/>
        </w:rPr>
        <w:t xml:space="preserve">From dynamic height interpolated fields, GVel was obtained by the first derivative between adjacent grid nodes.. The horizontal interpolated fields of all the variables were finally re-sampled with the </w:t>
      </w:r>
      <w:r w:rsidRPr="00537527">
        <w:rPr>
          <w:rFonts w:cstheme="minorHAnsi"/>
          <w:i/>
          <w:iCs/>
          <w:noProof/>
          <w:lang w:val="en-GB"/>
        </w:rPr>
        <w:t>raster</w:t>
      </w:r>
      <w:r w:rsidRPr="00537527">
        <w:rPr>
          <w:rFonts w:cstheme="minorHAnsi"/>
          <w:noProof/>
          <w:lang w:val="en-GB"/>
        </w:rPr>
        <w:t xml:space="preserve"> package </w:t>
      </w:r>
      <w:r w:rsidRPr="00537527">
        <w:rPr>
          <w:rFonts w:cstheme="minorHAnsi"/>
          <w:noProof/>
          <w:lang w:val="en-GB"/>
        </w:rPr>
        <w:fldChar w:fldCharType="begin" w:fldLock="1"/>
      </w:r>
      <w:r w:rsidRPr="00537527">
        <w:rPr>
          <w:rFonts w:cstheme="minorHAnsi"/>
          <w:noProof/>
          <w:lang w:val="en-GB"/>
        </w:rPr>
        <w:instrText>ADDIN CSL_CITATION {"citationItems":[{"id":"ITEM-1","itemData":{"author":[{"dropping-particle":"","family":"Hijmans","given":"R.J.","non-dropping-particle":"","parse-names":false,"suffix":""},{"dropping-particle":"","family":"Etten","given":"J.","non-dropping-particle":"van","parse-names":false,"suffix":""}],"id":"ITEM-1","issued":{"date-parts":[["2014"]]},"title":"raster: geographic data analysis and modeling. R package version 2: 15","type":"article"},"uris":["http://www.mendeley.com/documents/?uuid=29092c4e-0b95-4f53-bc4b-0aa8aca25f44"]}],"mendeley":{"formattedCitation":"(Hijmans and van Etten, 2014)","plainTextFormattedCitation":"(Hijmans and van Etten, 2014)","previouslyFormattedCitation":"(Hijmans and van Etten, 2014)"},"properties":{"noteIndex":0},"schema":"https://github.com/citation-style-language/schema/raw/master/csl-citation.json"}</w:instrText>
      </w:r>
      <w:r w:rsidRPr="00537527">
        <w:rPr>
          <w:rFonts w:cstheme="minorHAnsi"/>
          <w:noProof/>
          <w:lang w:val="en-GB"/>
        </w:rPr>
        <w:fldChar w:fldCharType="separate"/>
      </w:r>
      <w:r w:rsidRPr="00537527">
        <w:rPr>
          <w:rFonts w:cstheme="minorHAnsi"/>
          <w:noProof/>
          <w:lang w:val="en-GB"/>
        </w:rPr>
        <w:t>(Hijmans and van Etten, 2014)</w:t>
      </w:r>
      <w:r w:rsidRPr="00537527">
        <w:rPr>
          <w:rFonts w:cstheme="minorHAnsi"/>
          <w:noProof/>
          <w:lang w:val="en-GB"/>
        </w:rPr>
        <w:fldChar w:fldCharType="end"/>
      </w:r>
      <w:r w:rsidRPr="00537527">
        <w:rPr>
          <w:rFonts w:cstheme="minorHAnsi"/>
          <w:noProof/>
          <w:lang w:val="en-GB"/>
        </w:rPr>
        <w:t xml:space="preserve"> to match the standard grid.</w:t>
      </w:r>
    </w:p>
    <w:p w14:paraId="49482993" w14:textId="77777777" w:rsidR="0097669A" w:rsidRPr="00537527" w:rsidRDefault="0097669A" w:rsidP="0097669A">
      <w:pPr>
        <w:spacing w:line="276" w:lineRule="auto"/>
        <w:jc w:val="both"/>
        <w:rPr>
          <w:rFonts w:cstheme="minorHAnsi"/>
          <w:noProof/>
          <w:sz w:val="20"/>
          <w:szCs w:val="20"/>
          <w:lang w:val="en-GB"/>
        </w:rPr>
      </w:pPr>
      <w:r w:rsidRPr="00537527">
        <w:rPr>
          <w:rFonts w:cstheme="minorHAnsi"/>
          <w:noProof/>
          <w:lang w:val="en-GB"/>
        </w:rPr>
        <w:t>An additional variable to describe horizontal TEM changes were considered as a coarse indicator of oceanographic fronts. The shallowest TEM interpolated field was used to derive the spatial gradient of sea surface temperature (SSTg) by means of a spatial moving window within an area of 3 × 3 cells (0.1 × 0.1°) as follows:</w:t>
      </w:r>
    </w:p>
    <w:p w14:paraId="706FD812" w14:textId="77777777" w:rsidR="0097669A" w:rsidRPr="00537527" w:rsidRDefault="0097669A" w:rsidP="0097669A">
      <w:pPr>
        <w:rPr>
          <w:rFonts w:eastAsiaTheme="minorEastAsia" w:cstheme="minorHAnsi"/>
          <w:sz w:val="20"/>
          <w:szCs w:val="20"/>
          <w:lang w:val="en-GB"/>
        </w:rPr>
      </w:pPr>
      <m:oMathPara>
        <m:oMath>
          <m:r>
            <m:rPr>
              <m:sty m:val="p"/>
            </m:rPr>
            <w:rPr>
              <w:rFonts w:ascii="Cambria Math" w:hAnsi="Cambria Math" w:cstheme="minorHAnsi"/>
              <w:sz w:val="20"/>
              <w:szCs w:val="20"/>
              <w:lang w:val="en-GB"/>
            </w:rPr>
            <m:t xml:space="preserve">SStg= </m:t>
          </m:r>
          <m:f>
            <m:fPr>
              <m:ctrlPr>
                <w:rPr>
                  <w:rFonts w:ascii="Cambria Math" w:hAnsi="Cambria Math" w:cstheme="minorHAnsi"/>
                  <w:sz w:val="20"/>
                  <w:szCs w:val="20"/>
                  <w:lang w:val="en-GB"/>
                </w:rPr>
              </m:ctrlPr>
            </m:fPr>
            <m:num>
              <m:r>
                <m:rPr>
                  <m:sty m:val="p"/>
                </m:rPr>
                <w:rPr>
                  <w:rFonts w:ascii="Cambria Math" w:hAnsi="Cambria Math" w:cstheme="minorHAnsi"/>
                  <w:sz w:val="20"/>
                  <w:szCs w:val="20"/>
                  <w:lang w:val="en-GB"/>
                </w:rPr>
                <m:t>maximum value-minimum value</m:t>
              </m:r>
            </m:num>
            <m:den>
              <m:r>
                <m:rPr>
                  <m:sty m:val="p"/>
                </m:rPr>
                <w:rPr>
                  <w:rFonts w:ascii="Cambria Math" w:hAnsi="Cambria Math" w:cstheme="minorHAnsi"/>
                  <w:sz w:val="20"/>
                  <w:szCs w:val="20"/>
                  <w:lang w:val="en-GB"/>
                </w:rPr>
                <m:t>maximum value</m:t>
              </m:r>
            </m:den>
          </m:f>
          <m:r>
            <m:rPr>
              <m:sty m:val="p"/>
            </m:rPr>
            <w:rPr>
              <w:rFonts w:ascii="Cambria Math" w:hAnsi="Cambria Math" w:cstheme="minorHAnsi"/>
              <w:sz w:val="20"/>
              <w:szCs w:val="20"/>
              <w:lang w:val="en-GB"/>
            </w:rPr>
            <m:t xml:space="preserve"> ×100</m:t>
          </m:r>
        </m:oMath>
      </m:oMathPara>
    </w:p>
    <w:p w14:paraId="44A05323" w14:textId="77777777" w:rsidR="0097669A" w:rsidRPr="00537527" w:rsidRDefault="0097669A" w:rsidP="0097669A">
      <w:pPr>
        <w:spacing w:line="240" w:lineRule="auto"/>
        <w:jc w:val="both"/>
        <w:rPr>
          <w:rFonts w:eastAsiaTheme="minorEastAsia" w:cstheme="minorHAnsi"/>
          <w:sz w:val="20"/>
          <w:szCs w:val="20"/>
        </w:rPr>
        <w:sectPr w:rsidR="0097669A" w:rsidRPr="00537527" w:rsidSect="001363B7">
          <w:pgSz w:w="11906" w:h="16838"/>
          <w:pgMar w:top="1417" w:right="1135" w:bottom="1417" w:left="993" w:header="708" w:footer="708" w:gutter="0"/>
          <w:cols w:space="708"/>
          <w:docGrid w:linePitch="360"/>
        </w:sectPr>
      </w:pPr>
    </w:p>
    <w:p w14:paraId="55A23823" w14:textId="77777777" w:rsidR="0097669A" w:rsidRPr="00537527" w:rsidRDefault="0097669A" w:rsidP="0097669A">
      <w:pPr>
        <w:jc w:val="both"/>
        <w:rPr>
          <w:rFonts w:cstheme="minorHAnsi"/>
          <w:noProof/>
          <w:sz w:val="20"/>
          <w:szCs w:val="20"/>
          <w:lang w:val="en-GB"/>
        </w:rPr>
      </w:pPr>
      <w:r w:rsidRPr="00537527">
        <w:rPr>
          <w:rFonts w:cstheme="minorHAnsi"/>
          <w:b/>
          <w:bCs/>
          <w:noProof/>
          <w:sz w:val="20"/>
          <w:szCs w:val="20"/>
          <w:lang w:val="en-US"/>
        </w:rPr>
        <w:lastRenderedPageBreak/>
        <w:t>Table A.1.</w:t>
      </w:r>
      <w:r w:rsidRPr="00537527">
        <w:rPr>
          <w:rFonts w:cstheme="minorHAnsi"/>
          <w:noProof/>
          <w:sz w:val="20"/>
          <w:szCs w:val="20"/>
          <w:lang w:val="en-US"/>
        </w:rPr>
        <w:t xml:space="preserve"> </w:t>
      </w:r>
      <w:r w:rsidRPr="00537527">
        <w:rPr>
          <w:rFonts w:cstheme="minorHAnsi"/>
          <w:noProof/>
          <w:sz w:val="20"/>
          <w:szCs w:val="20"/>
          <w:lang w:val="en-GB"/>
        </w:rPr>
        <w:t>Environmental covariates used for spatial density modelling of great shearwaters in the Bay of Biscay, their units, acronyms and source. Sea surface temperature gradient is derived from interpolated temperature fields from surface to 15 m depth (i.e., from TEM). ETOPO1 (</w:t>
      </w:r>
      <w:r w:rsidRPr="00537527">
        <w:rPr>
          <w:rFonts w:cstheme="minorHAnsi"/>
          <w:noProof/>
          <w:sz w:val="20"/>
          <w:szCs w:val="20"/>
          <w:lang w:val="en-GB"/>
        </w:rPr>
        <w:fldChar w:fldCharType="begin" w:fldLock="1"/>
      </w:r>
      <w:r w:rsidRPr="00537527">
        <w:rPr>
          <w:rFonts w:cstheme="minorHAnsi"/>
          <w:noProof/>
          <w:sz w:val="20"/>
          <w:szCs w:val="20"/>
          <w:lang w:val="en-GB"/>
        </w:rPr>
        <w:instrText>ADDIN CSL_CITATION {"citationItems":[{"id":"ITEM-1","itemData":{"DOI":"10.7289/V5C8276M","author":[{"dropping-particle":"","family":"Amante","given":"C.","non-dropping-particle":"","parse-names":false,"suffix":""},{"dropping-particle":"","family":"Eakins","given":"B.W.","non-dropping-particle":"","parse-names":false,"suffix":""}],"id":"ITEM-1","issued":{"date-parts":[["2009"]]},"title":"ETOPO1 1 arc-minute global relief model: procedures, data sources, and analysis. Tech Rep NESDIS NGDC-24.","type":"report"},"uris":["http://www.mendeley.com/documents/?uuid=9dd50521-f916-4469-b1a9-f4b083b2e06a"]}],"mendeley":{"formattedCitation":"(Amante and Eakins, 2009)","manualFormatting":"Amante and Eakins, 2009","plainTextFormattedCitation":"(Amante and Eakins, 2009)","previouslyFormattedCitation":"(Amante and Eakins, 2009)"},"properties":{"noteIndex":0},"schema":"https://github.com/citation-style-language/schema/raw/master/csl-citation.json"}</w:instrText>
      </w:r>
      <w:r w:rsidRPr="00537527">
        <w:rPr>
          <w:rFonts w:cstheme="minorHAnsi"/>
          <w:noProof/>
          <w:sz w:val="20"/>
          <w:szCs w:val="20"/>
          <w:lang w:val="en-GB"/>
        </w:rPr>
        <w:fldChar w:fldCharType="separate"/>
      </w:r>
      <w:r w:rsidRPr="00537527">
        <w:rPr>
          <w:rFonts w:cstheme="minorHAnsi"/>
          <w:noProof/>
          <w:sz w:val="20"/>
          <w:szCs w:val="20"/>
          <w:lang w:val="en-GB"/>
        </w:rPr>
        <w:t>Amante and Eakins, 2009</w:t>
      </w:r>
      <w:r w:rsidRPr="00537527">
        <w:rPr>
          <w:rFonts w:cstheme="minorHAnsi"/>
          <w:noProof/>
          <w:sz w:val="20"/>
          <w:szCs w:val="20"/>
          <w:lang w:val="en-GB"/>
        </w:rPr>
        <w:fldChar w:fldCharType="end"/>
      </w:r>
      <w:r w:rsidRPr="00537527">
        <w:rPr>
          <w:rFonts w:cstheme="minorHAnsi"/>
          <w:noProof/>
          <w:sz w:val="20"/>
          <w:szCs w:val="20"/>
          <w:lang w:val="en-GB"/>
        </w:rPr>
        <w:t>, https://www.ngdc.noaa.gov/) was used to compute all the physiographic variables.</w:t>
      </w:r>
    </w:p>
    <w:p w14:paraId="4B506910" w14:textId="77777777" w:rsidR="0097669A" w:rsidRPr="00537527" w:rsidRDefault="0097669A" w:rsidP="0097669A">
      <w:pPr>
        <w:widowControl w:val="0"/>
        <w:autoSpaceDE w:val="0"/>
        <w:autoSpaceDN w:val="0"/>
        <w:adjustRightInd w:val="0"/>
        <w:spacing w:line="276" w:lineRule="auto"/>
        <w:jc w:val="both"/>
        <w:rPr>
          <w:rFonts w:eastAsia="Calibri" w:cstheme="minorHAnsi"/>
          <w:lang w:val="en-GB"/>
        </w:rPr>
      </w:pPr>
    </w:p>
    <w:tbl>
      <w:tblPr>
        <w:tblStyle w:val="Tablaconcuadrcula"/>
        <w:tblW w:w="410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4054"/>
        <w:gridCol w:w="1241"/>
        <w:gridCol w:w="1777"/>
      </w:tblGrid>
      <w:tr w:rsidR="0097669A" w:rsidRPr="00537527" w14:paraId="700E4DD2" w14:textId="77777777" w:rsidTr="006459E8">
        <w:trPr>
          <w:cantSplit/>
          <w:trHeight w:val="454"/>
          <w:jc w:val="center"/>
        </w:trPr>
        <w:tc>
          <w:tcPr>
            <w:tcW w:w="594" w:type="pct"/>
            <w:tcBorders>
              <w:bottom w:val="single" w:sz="4" w:space="0" w:color="auto"/>
            </w:tcBorders>
            <w:vAlign w:val="center"/>
          </w:tcPr>
          <w:p w14:paraId="66DB5630" w14:textId="77777777" w:rsidR="0097669A" w:rsidRPr="00537527" w:rsidRDefault="0097669A" w:rsidP="006459E8">
            <w:pPr>
              <w:spacing w:line="276" w:lineRule="auto"/>
              <w:jc w:val="center"/>
              <w:rPr>
                <w:rFonts w:cstheme="minorHAnsi"/>
                <w:b/>
                <w:bCs/>
                <w:sz w:val="20"/>
                <w:szCs w:val="28"/>
                <w:lang w:val="en-GB"/>
              </w:rPr>
            </w:pPr>
            <w:r w:rsidRPr="00537527">
              <w:rPr>
                <w:rFonts w:cstheme="minorHAnsi"/>
                <w:b/>
                <w:bCs/>
                <w:sz w:val="20"/>
                <w:szCs w:val="28"/>
                <w:lang w:val="en-GB"/>
              </w:rPr>
              <w:t>Type</w:t>
            </w:r>
          </w:p>
        </w:tc>
        <w:tc>
          <w:tcPr>
            <w:tcW w:w="2526" w:type="pct"/>
            <w:tcBorders>
              <w:bottom w:val="single" w:sz="4" w:space="0" w:color="auto"/>
            </w:tcBorders>
            <w:vAlign w:val="center"/>
          </w:tcPr>
          <w:p w14:paraId="0786654E" w14:textId="77777777" w:rsidR="0097669A" w:rsidRPr="00537527" w:rsidRDefault="0097669A" w:rsidP="006459E8">
            <w:pPr>
              <w:spacing w:line="276" w:lineRule="auto"/>
              <w:rPr>
                <w:rFonts w:cstheme="minorHAnsi"/>
                <w:b/>
                <w:bCs/>
                <w:sz w:val="20"/>
                <w:szCs w:val="28"/>
                <w:lang w:val="en-GB"/>
              </w:rPr>
            </w:pPr>
            <w:r w:rsidRPr="00537527">
              <w:rPr>
                <w:rFonts w:cstheme="minorHAnsi"/>
                <w:b/>
                <w:bCs/>
                <w:sz w:val="20"/>
                <w:szCs w:val="28"/>
                <w:lang w:val="en-GB"/>
              </w:rPr>
              <w:t>Environmental covariate</w:t>
            </w:r>
          </w:p>
        </w:tc>
        <w:tc>
          <w:tcPr>
            <w:tcW w:w="773" w:type="pct"/>
            <w:tcBorders>
              <w:bottom w:val="single" w:sz="4" w:space="0" w:color="auto"/>
            </w:tcBorders>
            <w:vAlign w:val="center"/>
          </w:tcPr>
          <w:p w14:paraId="49E90A19" w14:textId="77777777" w:rsidR="0097669A" w:rsidRPr="00537527" w:rsidRDefault="0097669A" w:rsidP="006459E8">
            <w:pPr>
              <w:spacing w:line="276" w:lineRule="auto"/>
              <w:jc w:val="center"/>
              <w:rPr>
                <w:rFonts w:cstheme="minorHAnsi"/>
                <w:b/>
                <w:bCs/>
                <w:sz w:val="20"/>
                <w:szCs w:val="28"/>
                <w:lang w:val="en-GB"/>
              </w:rPr>
            </w:pPr>
            <w:r w:rsidRPr="00537527">
              <w:rPr>
                <w:rFonts w:cstheme="minorHAnsi"/>
                <w:b/>
                <w:bCs/>
                <w:sz w:val="20"/>
                <w:szCs w:val="28"/>
                <w:lang w:val="en-GB"/>
              </w:rPr>
              <w:t>Acronyms</w:t>
            </w:r>
          </w:p>
        </w:tc>
        <w:tc>
          <w:tcPr>
            <w:tcW w:w="1107" w:type="pct"/>
            <w:tcBorders>
              <w:bottom w:val="single" w:sz="4" w:space="0" w:color="auto"/>
            </w:tcBorders>
            <w:vAlign w:val="center"/>
          </w:tcPr>
          <w:p w14:paraId="0C3533BB" w14:textId="77777777" w:rsidR="0097669A" w:rsidRPr="00537527" w:rsidRDefault="0097669A" w:rsidP="006459E8">
            <w:pPr>
              <w:spacing w:line="276" w:lineRule="auto"/>
              <w:jc w:val="center"/>
              <w:rPr>
                <w:rFonts w:cstheme="minorHAnsi"/>
                <w:b/>
                <w:bCs/>
                <w:sz w:val="20"/>
                <w:szCs w:val="28"/>
                <w:lang w:val="en-GB"/>
              </w:rPr>
            </w:pPr>
            <w:r w:rsidRPr="00537527">
              <w:rPr>
                <w:rFonts w:cstheme="minorHAnsi"/>
                <w:b/>
                <w:bCs/>
                <w:sz w:val="20"/>
                <w:szCs w:val="28"/>
                <w:lang w:val="en-GB"/>
              </w:rPr>
              <w:t>Source</w:t>
            </w:r>
          </w:p>
        </w:tc>
      </w:tr>
      <w:tr w:rsidR="0097669A" w:rsidRPr="00537527" w14:paraId="134C3490" w14:textId="77777777" w:rsidTr="006459E8">
        <w:trPr>
          <w:cantSplit/>
          <w:trHeight w:val="454"/>
          <w:jc w:val="center"/>
        </w:trPr>
        <w:tc>
          <w:tcPr>
            <w:tcW w:w="594" w:type="pct"/>
            <w:vMerge w:val="restart"/>
            <w:tcBorders>
              <w:top w:val="single" w:sz="4" w:space="0" w:color="auto"/>
              <w:bottom w:val="nil"/>
            </w:tcBorders>
            <w:textDirection w:val="btLr"/>
            <w:vAlign w:val="center"/>
          </w:tcPr>
          <w:p w14:paraId="6FCC56AA" w14:textId="77777777" w:rsidR="0097669A" w:rsidRPr="00537527" w:rsidRDefault="0097669A" w:rsidP="006459E8">
            <w:pPr>
              <w:spacing w:line="276" w:lineRule="auto"/>
              <w:ind w:left="113" w:right="113"/>
              <w:jc w:val="center"/>
              <w:rPr>
                <w:rFonts w:cstheme="minorHAnsi"/>
                <w:sz w:val="20"/>
                <w:szCs w:val="28"/>
                <w:lang w:val="en-GB"/>
              </w:rPr>
            </w:pPr>
            <w:r w:rsidRPr="00537527">
              <w:rPr>
                <w:rFonts w:cstheme="minorHAnsi"/>
                <w:sz w:val="20"/>
                <w:szCs w:val="28"/>
                <w:lang w:val="en-GB"/>
              </w:rPr>
              <w:t>Ocean dynamic environment</w:t>
            </w:r>
          </w:p>
        </w:tc>
        <w:tc>
          <w:tcPr>
            <w:tcW w:w="2526" w:type="pct"/>
            <w:tcBorders>
              <w:top w:val="single" w:sz="4" w:space="0" w:color="auto"/>
              <w:bottom w:val="nil"/>
            </w:tcBorders>
            <w:vAlign w:val="center"/>
          </w:tcPr>
          <w:p w14:paraId="0D25AED3"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Temperature (°C)</w:t>
            </w:r>
          </w:p>
        </w:tc>
        <w:tc>
          <w:tcPr>
            <w:tcW w:w="773" w:type="pct"/>
            <w:tcBorders>
              <w:top w:val="single" w:sz="4" w:space="0" w:color="auto"/>
              <w:bottom w:val="nil"/>
            </w:tcBorders>
            <w:vAlign w:val="center"/>
          </w:tcPr>
          <w:p w14:paraId="79B079E3"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TEM</w:t>
            </w:r>
          </w:p>
        </w:tc>
        <w:tc>
          <w:tcPr>
            <w:tcW w:w="1107" w:type="pct"/>
            <w:tcBorders>
              <w:top w:val="single" w:sz="4" w:space="0" w:color="auto"/>
              <w:bottom w:val="nil"/>
            </w:tcBorders>
            <w:vAlign w:val="center"/>
          </w:tcPr>
          <w:p w14:paraId="0241043C"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CTD casts</w:t>
            </w:r>
          </w:p>
        </w:tc>
      </w:tr>
      <w:tr w:rsidR="0097669A" w:rsidRPr="00537527" w14:paraId="67CF5DF8" w14:textId="77777777" w:rsidTr="006459E8">
        <w:trPr>
          <w:cantSplit/>
          <w:trHeight w:val="454"/>
          <w:jc w:val="center"/>
        </w:trPr>
        <w:tc>
          <w:tcPr>
            <w:tcW w:w="594" w:type="pct"/>
            <w:vMerge/>
            <w:tcBorders>
              <w:top w:val="nil"/>
              <w:bottom w:val="nil"/>
            </w:tcBorders>
            <w:vAlign w:val="center"/>
          </w:tcPr>
          <w:p w14:paraId="6D8925B8"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bottom w:val="nil"/>
            </w:tcBorders>
            <w:vAlign w:val="center"/>
          </w:tcPr>
          <w:p w14:paraId="4178F789"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Sea surface temperature gradient</w:t>
            </w:r>
          </w:p>
        </w:tc>
        <w:tc>
          <w:tcPr>
            <w:tcW w:w="773" w:type="pct"/>
            <w:tcBorders>
              <w:top w:val="nil"/>
              <w:bottom w:val="nil"/>
            </w:tcBorders>
            <w:vAlign w:val="center"/>
          </w:tcPr>
          <w:p w14:paraId="58BD07A1" w14:textId="77777777" w:rsidR="0097669A" w:rsidRPr="00537527" w:rsidRDefault="0097669A" w:rsidP="006459E8">
            <w:pPr>
              <w:spacing w:line="276" w:lineRule="auto"/>
              <w:jc w:val="center"/>
              <w:rPr>
                <w:rFonts w:cstheme="minorHAnsi"/>
                <w:sz w:val="20"/>
                <w:szCs w:val="28"/>
                <w:lang w:val="en-GB"/>
              </w:rPr>
            </w:pPr>
            <w:proofErr w:type="spellStart"/>
            <w:r w:rsidRPr="00537527">
              <w:rPr>
                <w:rFonts w:cstheme="minorHAnsi"/>
                <w:sz w:val="20"/>
                <w:szCs w:val="28"/>
                <w:lang w:val="en-GB"/>
              </w:rPr>
              <w:t>TEM</w:t>
            </w:r>
            <w:r w:rsidRPr="00537527">
              <w:rPr>
                <w:rFonts w:cstheme="minorHAnsi"/>
                <w:sz w:val="20"/>
                <w:szCs w:val="28"/>
                <w:vertAlign w:val="subscript"/>
                <w:lang w:val="en-GB"/>
              </w:rPr>
              <w:t>g</w:t>
            </w:r>
            <w:proofErr w:type="spellEnd"/>
          </w:p>
        </w:tc>
        <w:tc>
          <w:tcPr>
            <w:tcW w:w="1107" w:type="pct"/>
            <w:tcBorders>
              <w:top w:val="nil"/>
              <w:bottom w:val="nil"/>
            </w:tcBorders>
            <w:vAlign w:val="center"/>
          </w:tcPr>
          <w:p w14:paraId="66DA828E"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Derived from TEM</w:t>
            </w:r>
          </w:p>
        </w:tc>
      </w:tr>
      <w:tr w:rsidR="0097669A" w:rsidRPr="00537527" w14:paraId="2E28477A" w14:textId="77777777" w:rsidTr="006459E8">
        <w:trPr>
          <w:cantSplit/>
          <w:trHeight w:val="454"/>
          <w:jc w:val="center"/>
        </w:trPr>
        <w:tc>
          <w:tcPr>
            <w:tcW w:w="594" w:type="pct"/>
            <w:vMerge/>
            <w:tcBorders>
              <w:top w:val="nil"/>
              <w:bottom w:val="nil"/>
            </w:tcBorders>
            <w:vAlign w:val="center"/>
          </w:tcPr>
          <w:p w14:paraId="1954F1E0"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bottom w:val="nil"/>
            </w:tcBorders>
            <w:vAlign w:val="center"/>
          </w:tcPr>
          <w:p w14:paraId="6ACFDEBC"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Geostrophic velocity (m s−1)</w:t>
            </w:r>
          </w:p>
        </w:tc>
        <w:tc>
          <w:tcPr>
            <w:tcW w:w="773" w:type="pct"/>
            <w:tcBorders>
              <w:top w:val="nil"/>
              <w:bottom w:val="nil"/>
            </w:tcBorders>
            <w:vAlign w:val="center"/>
          </w:tcPr>
          <w:p w14:paraId="43A0D3A0" w14:textId="77777777" w:rsidR="0097669A" w:rsidRPr="00537527" w:rsidRDefault="0097669A" w:rsidP="006459E8">
            <w:pPr>
              <w:spacing w:line="276" w:lineRule="auto"/>
              <w:jc w:val="center"/>
              <w:rPr>
                <w:rFonts w:cstheme="minorHAnsi"/>
                <w:sz w:val="20"/>
                <w:szCs w:val="28"/>
                <w:lang w:val="en-GB"/>
              </w:rPr>
            </w:pPr>
            <w:proofErr w:type="spellStart"/>
            <w:r w:rsidRPr="00537527">
              <w:rPr>
                <w:rFonts w:cstheme="minorHAnsi"/>
                <w:lang w:val="en-GB"/>
              </w:rPr>
              <w:t>GVel</w:t>
            </w:r>
            <w:proofErr w:type="spellEnd"/>
          </w:p>
        </w:tc>
        <w:tc>
          <w:tcPr>
            <w:tcW w:w="1107" w:type="pct"/>
            <w:tcBorders>
              <w:top w:val="nil"/>
              <w:bottom w:val="nil"/>
            </w:tcBorders>
            <w:vAlign w:val="center"/>
          </w:tcPr>
          <w:p w14:paraId="0BE36863"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Derived from TEM, SAL</w:t>
            </w:r>
          </w:p>
        </w:tc>
      </w:tr>
      <w:tr w:rsidR="0097669A" w:rsidRPr="00537527" w14:paraId="232B9437" w14:textId="77777777" w:rsidTr="006459E8">
        <w:trPr>
          <w:cantSplit/>
          <w:trHeight w:val="454"/>
          <w:jc w:val="center"/>
        </w:trPr>
        <w:tc>
          <w:tcPr>
            <w:tcW w:w="594" w:type="pct"/>
            <w:vMerge/>
            <w:tcBorders>
              <w:top w:val="nil"/>
              <w:bottom w:val="nil"/>
            </w:tcBorders>
            <w:vAlign w:val="center"/>
          </w:tcPr>
          <w:p w14:paraId="5A4ADEEC"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bottom w:val="nil"/>
            </w:tcBorders>
            <w:vAlign w:val="center"/>
          </w:tcPr>
          <w:p w14:paraId="0556E824"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Depth of maximum temperature gradient (m)</w:t>
            </w:r>
          </w:p>
        </w:tc>
        <w:tc>
          <w:tcPr>
            <w:tcW w:w="773" w:type="pct"/>
            <w:tcBorders>
              <w:top w:val="nil"/>
              <w:bottom w:val="nil"/>
            </w:tcBorders>
            <w:vAlign w:val="center"/>
          </w:tcPr>
          <w:p w14:paraId="72146FD6"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DTG</w:t>
            </w:r>
          </w:p>
        </w:tc>
        <w:tc>
          <w:tcPr>
            <w:tcW w:w="1107" w:type="pct"/>
            <w:tcBorders>
              <w:top w:val="nil"/>
              <w:bottom w:val="nil"/>
            </w:tcBorders>
            <w:vAlign w:val="center"/>
          </w:tcPr>
          <w:p w14:paraId="15135EE1"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Derived from TEM</w:t>
            </w:r>
          </w:p>
        </w:tc>
      </w:tr>
      <w:tr w:rsidR="0097669A" w:rsidRPr="00537527" w14:paraId="65B23D2E" w14:textId="77777777" w:rsidTr="006459E8">
        <w:trPr>
          <w:cantSplit/>
          <w:trHeight w:val="454"/>
          <w:jc w:val="center"/>
        </w:trPr>
        <w:tc>
          <w:tcPr>
            <w:tcW w:w="594" w:type="pct"/>
            <w:vMerge/>
            <w:tcBorders>
              <w:top w:val="nil"/>
              <w:bottom w:val="nil"/>
            </w:tcBorders>
            <w:vAlign w:val="center"/>
          </w:tcPr>
          <w:p w14:paraId="59E1B77A"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bottom w:val="nil"/>
            </w:tcBorders>
            <w:vAlign w:val="center"/>
          </w:tcPr>
          <w:p w14:paraId="4348B7AF"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Maximum temperature gradient (°C m−1)</w:t>
            </w:r>
          </w:p>
        </w:tc>
        <w:tc>
          <w:tcPr>
            <w:tcW w:w="773" w:type="pct"/>
            <w:tcBorders>
              <w:top w:val="nil"/>
              <w:bottom w:val="nil"/>
            </w:tcBorders>
            <w:vAlign w:val="center"/>
          </w:tcPr>
          <w:p w14:paraId="57BB91C9"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MTG</w:t>
            </w:r>
          </w:p>
        </w:tc>
        <w:tc>
          <w:tcPr>
            <w:tcW w:w="1107" w:type="pct"/>
            <w:tcBorders>
              <w:top w:val="nil"/>
              <w:bottom w:val="nil"/>
            </w:tcBorders>
            <w:vAlign w:val="center"/>
          </w:tcPr>
          <w:p w14:paraId="51D4A45C"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Derived from TEM</w:t>
            </w:r>
          </w:p>
        </w:tc>
      </w:tr>
      <w:tr w:rsidR="0097669A" w:rsidRPr="00537527" w14:paraId="51796FF0" w14:textId="77777777" w:rsidTr="006459E8">
        <w:trPr>
          <w:cantSplit/>
          <w:trHeight w:val="454"/>
          <w:jc w:val="center"/>
        </w:trPr>
        <w:tc>
          <w:tcPr>
            <w:tcW w:w="594" w:type="pct"/>
            <w:vMerge/>
            <w:tcBorders>
              <w:top w:val="nil"/>
              <w:bottom w:val="single" w:sz="4" w:space="0" w:color="auto"/>
            </w:tcBorders>
            <w:vAlign w:val="center"/>
          </w:tcPr>
          <w:p w14:paraId="01E1ECCD"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bottom w:val="single" w:sz="4" w:space="0" w:color="auto"/>
            </w:tcBorders>
            <w:vAlign w:val="center"/>
          </w:tcPr>
          <w:p w14:paraId="534614D7"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Salinity (</w:t>
            </w:r>
            <w:proofErr w:type="spellStart"/>
            <w:r w:rsidRPr="00537527">
              <w:rPr>
                <w:rFonts w:cstheme="minorHAnsi"/>
                <w:sz w:val="20"/>
                <w:szCs w:val="28"/>
                <w:lang w:val="en-GB"/>
              </w:rPr>
              <w:t>psu</w:t>
            </w:r>
            <w:proofErr w:type="spellEnd"/>
            <w:r w:rsidRPr="00537527">
              <w:rPr>
                <w:rFonts w:cstheme="minorHAnsi"/>
                <w:sz w:val="20"/>
                <w:szCs w:val="28"/>
                <w:lang w:val="en-GB"/>
              </w:rPr>
              <w:t>)</w:t>
            </w:r>
          </w:p>
        </w:tc>
        <w:tc>
          <w:tcPr>
            <w:tcW w:w="773" w:type="pct"/>
            <w:tcBorders>
              <w:top w:val="nil"/>
              <w:bottom w:val="single" w:sz="4" w:space="0" w:color="auto"/>
            </w:tcBorders>
            <w:vAlign w:val="center"/>
          </w:tcPr>
          <w:p w14:paraId="429A67EE"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SAL</w:t>
            </w:r>
          </w:p>
        </w:tc>
        <w:tc>
          <w:tcPr>
            <w:tcW w:w="1107" w:type="pct"/>
            <w:tcBorders>
              <w:top w:val="nil"/>
              <w:bottom w:val="single" w:sz="4" w:space="0" w:color="auto"/>
            </w:tcBorders>
            <w:vAlign w:val="center"/>
          </w:tcPr>
          <w:p w14:paraId="3891EE8D"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CTD casts</w:t>
            </w:r>
          </w:p>
        </w:tc>
      </w:tr>
      <w:tr w:rsidR="0097669A" w:rsidRPr="00537527" w14:paraId="24B37539"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val="restart"/>
            <w:tcBorders>
              <w:top w:val="single" w:sz="4" w:space="0" w:color="auto"/>
              <w:left w:val="nil"/>
              <w:bottom w:val="single" w:sz="4" w:space="0" w:color="auto"/>
              <w:right w:val="nil"/>
            </w:tcBorders>
            <w:textDirection w:val="btLr"/>
            <w:vAlign w:val="center"/>
          </w:tcPr>
          <w:p w14:paraId="3AC8266D" w14:textId="77777777" w:rsidR="0097669A" w:rsidRPr="00537527" w:rsidRDefault="0097669A" w:rsidP="006459E8">
            <w:pPr>
              <w:spacing w:line="276" w:lineRule="auto"/>
              <w:ind w:left="113" w:right="113"/>
              <w:jc w:val="center"/>
              <w:rPr>
                <w:rFonts w:cstheme="minorHAnsi"/>
                <w:sz w:val="20"/>
                <w:szCs w:val="20"/>
                <w:lang w:val="en-GB"/>
              </w:rPr>
            </w:pPr>
            <w:r w:rsidRPr="00537527">
              <w:rPr>
                <w:rFonts w:cstheme="minorHAnsi"/>
                <w:sz w:val="20"/>
                <w:szCs w:val="20"/>
                <w:lang w:val="en-GB"/>
              </w:rPr>
              <w:t>Prey</w:t>
            </w:r>
          </w:p>
        </w:tc>
        <w:tc>
          <w:tcPr>
            <w:tcW w:w="2526" w:type="pct"/>
            <w:tcBorders>
              <w:top w:val="single" w:sz="4" w:space="0" w:color="auto"/>
              <w:left w:val="nil"/>
              <w:bottom w:val="nil"/>
              <w:right w:val="nil"/>
            </w:tcBorders>
            <w:vAlign w:val="center"/>
          </w:tcPr>
          <w:p w14:paraId="2B76EE14"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Biomass of adults of European anchovy (t)</w:t>
            </w:r>
          </w:p>
        </w:tc>
        <w:tc>
          <w:tcPr>
            <w:tcW w:w="773" w:type="pct"/>
            <w:tcBorders>
              <w:top w:val="single" w:sz="4" w:space="0" w:color="auto"/>
              <w:left w:val="nil"/>
              <w:bottom w:val="nil"/>
              <w:right w:val="nil"/>
            </w:tcBorders>
            <w:vAlign w:val="center"/>
          </w:tcPr>
          <w:p w14:paraId="0C983DE0"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ANEA</w:t>
            </w:r>
          </w:p>
        </w:tc>
        <w:tc>
          <w:tcPr>
            <w:tcW w:w="1107" w:type="pct"/>
            <w:vMerge w:val="restart"/>
            <w:tcBorders>
              <w:top w:val="single" w:sz="4" w:space="0" w:color="auto"/>
              <w:left w:val="nil"/>
              <w:right w:val="nil"/>
            </w:tcBorders>
            <w:vAlign w:val="center"/>
          </w:tcPr>
          <w:p w14:paraId="478A6E3A"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Acoustic and pelagic trawls</w:t>
            </w:r>
          </w:p>
        </w:tc>
      </w:tr>
      <w:tr w:rsidR="0097669A" w:rsidRPr="00537527" w14:paraId="5342A362"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tcBorders>
              <w:top w:val="nil"/>
              <w:left w:val="nil"/>
              <w:bottom w:val="single" w:sz="4" w:space="0" w:color="auto"/>
              <w:right w:val="nil"/>
            </w:tcBorders>
          </w:tcPr>
          <w:p w14:paraId="13A4D07F" w14:textId="77777777" w:rsidR="0097669A" w:rsidRPr="00537527" w:rsidRDefault="0097669A" w:rsidP="006459E8">
            <w:pPr>
              <w:spacing w:line="276" w:lineRule="auto"/>
              <w:jc w:val="center"/>
              <w:rPr>
                <w:rFonts w:cstheme="minorHAnsi"/>
                <w:sz w:val="20"/>
                <w:szCs w:val="20"/>
                <w:lang w:val="en-GB"/>
              </w:rPr>
            </w:pPr>
          </w:p>
        </w:tc>
        <w:tc>
          <w:tcPr>
            <w:tcW w:w="2526" w:type="pct"/>
            <w:tcBorders>
              <w:top w:val="nil"/>
              <w:left w:val="nil"/>
              <w:bottom w:val="nil"/>
              <w:right w:val="nil"/>
            </w:tcBorders>
            <w:vAlign w:val="center"/>
          </w:tcPr>
          <w:p w14:paraId="34DF41DF"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Biomass of juveniles of European anchovy (t)</w:t>
            </w:r>
          </w:p>
        </w:tc>
        <w:tc>
          <w:tcPr>
            <w:tcW w:w="773" w:type="pct"/>
            <w:tcBorders>
              <w:top w:val="nil"/>
              <w:left w:val="nil"/>
              <w:bottom w:val="nil"/>
              <w:right w:val="nil"/>
            </w:tcBorders>
            <w:vAlign w:val="center"/>
          </w:tcPr>
          <w:p w14:paraId="73EEE884"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ANEJ</w:t>
            </w:r>
          </w:p>
        </w:tc>
        <w:tc>
          <w:tcPr>
            <w:tcW w:w="1107" w:type="pct"/>
            <w:vMerge/>
            <w:tcBorders>
              <w:left w:val="nil"/>
              <w:right w:val="nil"/>
            </w:tcBorders>
          </w:tcPr>
          <w:p w14:paraId="2F5B0E5C" w14:textId="77777777" w:rsidR="0097669A" w:rsidRPr="00537527" w:rsidRDefault="0097669A" w:rsidP="006459E8">
            <w:pPr>
              <w:spacing w:line="276" w:lineRule="auto"/>
              <w:jc w:val="center"/>
              <w:rPr>
                <w:rFonts w:cstheme="minorHAnsi"/>
                <w:sz w:val="20"/>
                <w:szCs w:val="28"/>
                <w:lang w:val="en-GB"/>
              </w:rPr>
            </w:pPr>
          </w:p>
        </w:tc>
      </w:tr>
      <w:tr w:rsidR="0097669A" w:rsidRPr="00537527" w14:paraId="4C145B5A"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tcBorders>
              <w:top w:val="nil"/>
              <w:left w:val="nil"/>
              <w:bottom w:val="single" w:sz="4" w:space="0" w:color="auto"/>
              <w:right w:val="nil"/>
            </w:tcBorders>
          </w:tcPr>
          <w:p w14:paraId="3E82B6C6" w14:textId="77777777" w:rsidR="0097669A" w:rsidRPr="00537527" w:rsidRDefault="0097669A" w:rsidP="006459E8">
            <w:pPr>
              <w:spacing w:line="276" w:lineRule="auto"/>
              <w:jc w:val="center"/>
              <w:rPr>
                <w:rFonts w:cstheme="minorHAnsi"/>
                <w:sz w:val="20"/>
                <w:szCs w:val="20"/>
                <w:lang w:val="en-GB"/>
              </w:rPr>
            </w:pPr>
          </w:p>
        </w:tc>
        <w:tc>
          <w:tcPr>
            <w:tcW w:w="2526" w:type="pct"/>
            <w:tcBorders>
              <w:top w:val="nil"/>
              <w:left w:val="nil"/>
              <w:bottom w:val="single" w:sz="4" w:space="0" w:color="auto"/>
              <w:right w:val="nil"/>
            </w:tcBorders>
            <w:vAlign w:val="center"/>
          </w:tcPr>
          <w:p w14:paraId="37AAB168" w14:textId="77777777" w:rsidR="0097669A" w:rsidRPr="00537527" w:rsidRDefault="0097669A" w:rsidP="006459E8">
            <w:pPr>
              <w:spacing w:line="276" w:lineRule="auto"/>
              <w:rPr>
                <w:rFonts w:cstheme="minorHAnsi"/>
                <w:sz w:val="20"/>
                <w:szCs w:val="28"/>
                <w:lang w:val="en-GB"/>
              </w:rPr>
            </w:pPr>
            <w:r w:rsidRPr="00537527">
              <w:rPr>
                <w:rFonts w:cstheme="minorHAnsi"/>
                <w:sz w:val="20"/>
                <w:szCs w:val="28"/>
                <w:lang w:val="en-GB"/>
              </w:rPr>
              <w:t>Biomass of European pilchard (t)</w:t>
            </w:r>
          </w:p>
        </w:tc>
        <w:tc>
          <w:tcPr>
            <w:tcW w:w="773" w:type="pct"/>
            <w:tcBorders>
              <w:top w:val="nil"/>
              <w:left w:val="nil"/>
              <w:bottom w:val="single" w:sz="4" w:space="0" w:color="auto"/>
              <w:right w:val="nil"/>
            </w:tcBorders>
            <w:vAlign w:val="center"/>
          </w:tcPr>
          <w:p w14:paraId="2A64B6B4"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PIL</w:t>
            </w:r>
          </w:p>
        </w:tc>
        <w:tc>
          <w:tcPr>
            <w:tcW w:w="1107" w:type="pct"/>
            <w:vMerge/>
            <w:tcBorders>
              <w:left w:val="nil"/>
              <w:right w:val="nil"/>
            </w:tcBorders>
          </w:tcPr>
          <w:p w14:paraId="74C1DBA6" w14:textId="77777777" w:rsidR="0097669A" w:rsidRPr="00537527" w:rsidRDefault="0097669A" w:rsidP="006459E8">
            <w:pPr>
              <w:spacing w:line="276" w:lineRule="auto"/>
              <w:jc w:val="center"/>
              <w:rPr>
                <w:rFonts w:cstheme="minorHAnsi"/>
                <w:sz w:val="20"/>
                <w:szCs w:val="28"/>
                <w:lang w:val="en-GB"/>
              </w:rPr>
            </w:pPr>
          </w:p>
        </w:tc>
      </w:tr>
      <w:tr w:rsidR="0097669A" w:rsidRPr="00537527" w14:paraId="14540944"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val="restart"/>
            <w:tcBorders>
              <w:top w:val="single" w:sz="4" w:space="0" w:color="auto"/>
              <w:left w:val="nil"/>
              <w:right w:val="nil"/>
            </w:tcBorders>
            <w:textDirection w:val="btLr"/>
            <w:vAlign w:val="center"/>
          </w:tcPr>
          <w:p w14:paraId="440162D6" w14:textId="77777777" w:rsidR="0097669A" w:rsidRPr="00537527" w:rsidRDefault="0097669A" w:rsidP="006459E8">
            <w:pPr>
              <w:spacing w:line="276" w:lineRule="auto"/>
              <w:ind w:left="113" w:right="113"/>
              <w:jc w:val="center"/>
              <w:rPr>
                <w:rFonts w:cstheme="minorHAnsi"/>
                <w:sz w:val="20"/>
                <w:szCs w:val="20"/>
                <w:lang w:val="en-GB"/>
              </w:rPr>
            </w:pPr>
            <w:r w:rsidRPr="00537527">
              <w:rPr>
                <w:rFonts w:cstheme="minorHAnsi"/>
                <w:sz w:val="20"/>
                <w:szCs w:val="20"/>
                <w:lang w:val="en-GB"/>
              </w:rPr>
              <w:t>Physiographic</w:t>
            </w:r>
          </w:p>
        </w:tc>
        <w:tc>
          <w:tcPr>
            <w:tcW w:w="2526" w:type="pct"/>
            <w:tcBorders>
              <w:top w:val="single" w:sz="4" w:space="0" w:color="auto"/>
              <w:left w:val="nil"/>
              <w:bottom w:val="nil"/>
              <w:right w:val="nil"/>
            </w:tcBorders>
            <w:vAlign w:val="center"/>
          </w:tcPr>
          <w:p w14:paraId="04398F1A" w14:textId="77777777" w:rsidR="0097669A" w:rsidRPr="00537527" w:rsidRDefault="0097669A" w:rsidP="006459E8">
            <w:pPr>
              <w:spacing w:line="276" w:lineRule="auto"/>
              <w:rPr>
                <w:rFonts w:cstheme="minorHAnsi"/>
                <w:sz w:val="20"/>
                <w:szCs w:val="20"/>
                <w:lang w:val="en-GB"/>
              </w:rPr>
            </w:pPr>
            <w:r w:rsidRPr="00537527">
              <w:rPr>
                <w:rFonts w:cstheme="minorHAnsi"/>
                <w:sz w:val="20"/>
                <w:szCs w:val="20"/>
                <w:lang w:val="en-GB"/>
              </w:rPr>
              <w:t>Depth (m)</w:t>
            </w:r>
          </w:p>
        </w:tc>
        <w:tc>
          <w:tcPr>
            <w:tcW w:w="773" w:type="pct"/>
            <w:tcBorders>
              <w:top w:val="single" w:sz="4" w:space="0" w:color="auto"/>
              <w:left w:val="nil"/>
              <w:bottom w:val="nil"/>
              <w:right w:val="nil"/>
            </w:tcBorders>
            <w:vAlign w:val="center"/>
          </w:tcPr>
          <w:p w14:paraId="2F338661" w14:textId="77777777" w:rsidR="0097669A" w:rsidRPr="00537527" w:rsidRDefault="0097669A" w:rsidP="006459E8">
            <w:pPr>
              <w:spacing w:line="276" w:lineRule="auto"/>
              <w:jc w:val="center"/>
              <w:rPr>
                <w:rFonts w:cstheme="minorHAnsi"/>
                <w:sz w:val="20"/>
                <w:szCs w:val="20"/>
                <w:lang w:val="en-GB"/>
              </w:rPr>
            </w:pPr>
            <w:r w:rsidRPr="00537527">
              <w:rPr>
                <w:rFonts w:cstheme="minorHAnsi"/>
                <w:sz w:val="20"/>
                <w:szCs w:val="20"/>
                <w:lang w:val="en-GB"/>
              </w:rPr>
              <w:t>BAT</w:t>
            </w:r>
          </w:p>
        </w:tc>
        <w:tc>
          <w:tcPr>
            <w:tcW w:w="1107" w:type="pct"/>
            <w:tcBorders>
              <w:left w:val="nil"/>
              <w:bottom w:val="nil"/>
              <w:right w:val="nil"/>
            </w:tcBorders>
            <w:vAlign w:val="center"/>
          </w:tcPr>
          <w:p w14:paraId="66B6F7F9" w14:textId="77777777" w:rsidR="0097669A" w:rsidRPr="00537527" w:rsidRDefault="0097669A" w:rsidP="006459E8">
            <w:pPr>
              <w:spacing w:line="276" w:lineRule="auto"/>
              <w:jc w:val="center"/>
              <w:rPr>
                <w:rFonts w:cstheme="minorHAnsi"/>
                <w:sz w:val="20"/>
                <w:szCs w:val="28"/>
                <w:lang w:val="en-GB"/>
              </w:rPr>
            </w:pPr>
            <w:r w:rsidRPr="00537527">
              <w:rPr>
                <w:rFonts w:cstheme="minorHAnsi"/>
                <w:sz w:val="20"/>
                <w:szCs w:val="28"/>
                <w:lang w:val="en-GB"/>
              </w:rPr>
              <w:t>ETOPO 1</w:t>
            </w:r>
          </w:p>
        </w:tc>
      </w:tr>
      <w:tr w:rsidR="0097669A" w:rsidRPr="00537527" w14:paraId="1F16E959"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tcBorders>
              <w:left w:val="nil"/>
              <w:right w:val="nil"/>
            </w:tcBorders>
          </w:tcPr>
          <w:p w14:paraId="76F42834"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left w:val="nil"/>
              <w:bottom w:val="nil"/>
              <w:right w:val="nil"/>
            </w:tcBorders>
            <w:vAlign w:val="center"/>
          </w:tcPr>
          <w:p w14:paraId="0FB73D11" w14:textId="77777777" w:rsidR="0097669A" w:rsidRPr="00537527" w:rsidRDefault="0097669A" w:rsidP="006459E8">
            <w:pPr>
              <w:spacing w:line="276" w:lineRule="auto"/>
              <w:rPr>
                <w:rFonts w:cstheme="minorHAnsi"/>
                <w:sz w:val="20"/>
                <w:szCs w:val="20"/>
                <w:lang w:val="en-GB"/>
              </w:rPr>
            </w:pPr>
            <w:r w:rsidRPr="00537527">
              <w:rPr>
                <w:rFonts w:cstheme="minorHAnsi"/>
                <w:sz w:val="20"/>
                <w:szCs w:val="20"/>
                <w:lang w:val="en-GB"/>
              </w:rPr>
              <w:t>Depth spatial gradient</w:t>
            </w:r>
          </w:p>
        </w:tc>
        <w:tc>
          <w:tcPr>
            <w:tcW w:w="773" w:type="pct"/>
            <w:tcBorders>
              <w:top w:val="nil"/>
              <w:left w:val="nil"/>
              <w:bottom w:val="nil"/>
              <w:right w:val="nil"/>
            </w:tcBorders>
            <w:vAlign w:val="center"/>
          </w:tcPr>
          <w:p w14:paraId="03AE777E" w14:textId="77777777" w:rsidR="0097669A" w:rsidRPr="00537527" w:rsidRDefault="0097669A" w:rsidP="006459E8">
            <w:pPr>
              <w:spacing w:line="276" w:lineRule="auto"/>
              <w:jc w:val="center"/>
              <w:rPr>
                <w:rFonts w:cstheme="minorHAnsi"/>
                <w:sz w:val="20"/>
                <w:szCs w:val="20"/>
                <w:lang w:val="en-GB"/>
              </w:rPr>
            </w:pPr>
            <w:proofErr w:type="spellStart"/>
            <w:r w:rsidRPr="00537527">
              <w:rPr>
                <w:rFonts w:cstheme="minorHAnsi"/>
                <w:sz w:val="20"/>
                <w:szCs w:val="20"/>
                <w:lang w:val="en-GB"/>
              </w:rPr>
              <w:t>BAT</w:t>
            </w:r>
            <w:r w:rsidRPr="00537527">
              <w:rPr>
                <w:rFonts w:cstheme="minorHAnsi"/>
                <w:sz w:val="20"/>
                <w:szCs w:val="20"/>
                <w:vertAlign w:val="subscript"/>
                <w:lang w:val="en-GB"/>
              </w:rPr>
              <w:t>g</w:t>
            </w:r>
            <w:proofErr w:type="spellEnd"/>
          </w:p>
        </w:tc>
        <w:tc>
          <w:tcPr>
            <w:tcW w:w="1107" w:type="pct"/>
            <w:vMerge w:val="restart"/>
            <w:tcBorders>
              <w:top w:val="nil"/>
              <w:left w:val="nil"/>
              <w:right w:val="nil"/>
            </w:tcBorders>
            <w:vAlign w:val="center"/>
          </w:tcPr>
          <w:p w14:paraId="572AC6BB" w14:textId="77777777" w:rsidR="0097669A" w:rsidRPr="00537527" w:rsidRDefault="0097669A" w:rsidP="006459E8">
            <w:pPr>
              <w:spacing w:line="276" w:lineRule="auto"/>
              <w:jc w:val="center"/>
              <w:rPr>
                <w:rFonts w:cstheme="minorHAnsi"/>
                <w:sz w:val="20"/>
                <w:szCs w:val="20"/>
                <w:lang w:val="en-GB"/>
              </w:rPr>
            </w:pPr>
            <w:r w:rsidRPr="00537527">
              <w:rPr>
                <w:rFonts w:cstheme="minorHAnsi"/>
                <w:sz w:val="20"/>
                <w:szCs w:val="28"/>
                <w:lang w:val="en-GB"/>
              </w:rPr>
              <w:t>Derived from ETOPO 1</w:t>
            </w:r>
          </w:p>
        </w:tc>
      </w:tr>
      <w:tr w:rsidR="0097669A" w:rsidRPr="00537527" w14:paraId="1A2A0AE2"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tcBorders>
              <w:left w:val="nil"/>
              <w:right w:val="nil"/>
            </w:tcBorders>
          </w:tcPr>
          <w:p w14:paraId="4D02C702"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left w:val="nil"/>
              <w:bottom w:val="nil"/>
              <w:right w:val="nil"/>
            </w:tcBorders>
            <w:vAlign w:val="center"/>
          </w:tcPr>
          <w:p w14:paraId="7E998318" w14:textId="77777777" w:rsidR="0097669A" w:rsidRPr="00537527" w:rsidRDefault="0097669A" w:rsidP="006459E8">
            <w:pPr>
              <w:spacing w:line="276" w:lineRule="auto"/>
              <w:rPr>
                <w:rFonts w:cstheme="minorHAnsi"/>
                <w:sz w:val="20"/>
                <w:szCs w:val="20"/>
                <w:lang w:val="en-GB"/>
              </w:rPr>
            </w:pPr>
            <w:r w:rsidRPr="00537527">
              <w:rPr>
                <w:rFonts w:cstheme="minorHAnsi"/>
                <w:sz w:val="20"/>
                <w:szCs w:val="20"/>
                <w:lang w:val="en-GB"/>
              </w:rPr>
              <w:t>Closest distance to the coastline (km)</w:t>
            </w:r>
          </w:p>
        </w:tc>
        <w:tc>
          <w:tcPr>
            <w:tcW w:w="773" w:type="pct"/>
            <w:tcBorders>
              <w:top w:val="nil"/>
              <w:left w:val="nil"/>
              <w:bottom w:val="nil"/>
              <w:right w:val="nil"/>
            </w:tcBorders>
            <w:vAlign w:val="center"/>
          </w:tcPr>
          <w:p w14:paraId="62473B15" w14:textId="77777777" w:rsidR="0097669A" w:rsidRPr="00537527" w:rsidRDefault="0097669A" w:rsidP="006459E8">
            <w:pPr>
              <w:spacing w:line="276" w:lineRule="auto"/>
              <w:jc w:val="center"/>
              <w:rPr>
                <w:rFonts w:cstheme="minorHAnsi"/>
                <w:sz w:val="20"/>
                <w:szCs w:val="20"/>
                <w:lang w:val="en-GB"/>
              </w:rPr>
            </w:pPr>
            <w:proofErr w:type="spellStart"/>
            <w:r w:rsidRPr="00537527">
              <w:rPr>
                <w:rFonts w:cstheme="minorHAnsi"/>
                <w:sz w:val="20"/>
                <w:szCs w:val="20"/>
                <w:lang w:val="en-GB"/>
              </w:rPr>
              <w:t>DisCO</w:t>
            </w:r>
            <w:proofErr w:type="spellEnd"/>
          </w:p>
        </w:tc>
        <w:tc>
          <w:tcPr>
            <w:tcW w:w="1107" w:type="pct"/>
            <w:vMerge/>
            <w:tcBorders>
              <w:left w:val="nil"/>
              <w:right w:val="nil"/>
            </w:tcBorders>
            <w:vAlign w:val="center"/>
          </w:tcPr>
          <w:p w14:paraId="61B28F23" w14:textId="77777777" w:rsidR="0097669A" w:rsidRPr="00537527" w:rsidRDefault="0097669A" w:rsidP="006459E8">
            <w:pPr>
              <w:spacing w:line="276" w:lineRule="auto"/>
              <w:jc w:val="center"/>
              <w:rPr>
                <w:rFonts w:cstheme="minorHAnsi"/>
                <w:sz w:val="20"/>
                <w:szCs w:val="28"/>
                <w:lang w:val="en-GB"/>
              </w:rPr>
            </w:pPr>
          </w:p>
        </w:tc>
      </w:tr>
      <w:tr w:rsidR="0097669A" w:rsidRPr="00537527" w14:paraId="53B3752D" w14:textId="77777777" w:rsidTr="006459E8">
        <w:tblPrEx>
          <w:jc w:val="left"/>
          <w:tblBorders>
            <w:left w:val="single" w:sz="4" w:space="0" w:color="auto"/>
            <w:right w:val="single" w:sz="4" w:space="0" w:color="auto"/>
            <w:insideH w:val="single" w:sz="4" w:space="0" w:color="auto"/>
            <w:insideV w:val="single" w:sz="4" w:space="0" w:color="auto"/>
          </w:tblBorders>
        </w:tblPrEx>
        <w:trPr>
          <w:cantSplit/>
          <w:trHeight w:val="454"/>
        </w:trPr>
        <w:tc>
          <w:tcPr>
            <w:tcW w:w="594" w:type="pct"/>
            <w:vMerge/>
            <w:tcBorders>
              <w:left w:val="nil"/>
              <w:bottom w:val="single" w:sz="4" w:space="0" w:color="auto"/>
              <w:right w:val="nil"/>
            </w:tcBorders>
          </w:tcPr>
          <w:p w14:paraId="59F0396C" w14:textId="77777777" w:rsidR="0097669A" w:rsidRPr="00537527" w:rsidRDefault="0097669A" w:rsidP="006459E8">
            <w:pPr>
              <w:spacing w:line="276" w:lineRule="auto"/>
              <w:jc w:val="center"/>
              <w:rPr>
                <w:rFonts w:cstheme="minorHAnsi"/>
                <w:sz w:val="20"/>
                <w:szCs w:val="28"/>
                <w:lang w:val="en-GB"/>
              </w:rPr>
            </w:pPr>
          </w:p>
        </w:tc>
        <w:tc>
          <w:tcPr>
            <w:tcW w:w="2526" w:type="pct"/>
            <w:tcBorders>
              <w:top w:val="nil"/>
              <w:left w:val="nil"/>
              <w:bottom w:val="single" w:sz="4" w:space="0" w:color="auto"/>
              <w:right w:val="nil"/>
            </w:tcBorders>
            <w:vAlign w:val="center"/>
          </w:tcPr>
          <w:p w14:paraId="6FD7BC59" w14:textId="77777777" w:rsidR="0097669A" w:rsidRPr="00537527" w:rsidRDefault="0097669A" w:rsidP="006459E8">
            <w:pPr>
              <w:spacing w:line="276" w:lineRule="auto"/>
              <w:rPr>
                <w:rFonts w:cstheme="minorHAnsi"/>
                <w:sz w:val="20"/>
                <w:szCs w:val="20"/>
                <w:lang w:val="en-GB"/>
              </w:rPr>
            </w:pPr>
            <w:r w:rsidRPr="00537527">
              <w:rPr>
                <w:rFonts w:cstheme="minorHAnsi"/>
                <w:sz w:val="20"/>
                <w:szCs w:val="20"/>
                <w:lang w:val="en-GB"/>
              </w:rPr>
              <w:t>Closest distance to the shelf-break (km)</w:t>
            </w:r>
          </w:p>
        </w:tc>
        <w:tc>
          <w:tcPr>
            <w:tcW w:w="773" w:type="pct"/>
            <w:tcBorders>
              <w:top w:val="nil"/>
              <w:left w:val="nil"/>
              <w:bottom w:val="single" w:sz="4" w:space="0" w:color="auto"/>
              <w:right w:val="nil"/>
            </w:tcBorders>
            <w:vAlign w:val="center"/>
          </w:tcPr>
          <w:p w14:paraId="4261938D" w14:textId="77777777" w:rsidR="0097669A" w:rsidRPr="00537527" w:rsidRDefault="0097669A" w:rsidP="006459E8">
            <w:pPr>
              <w:spacing w:line="276" w:lineRule="auto"/>
              <w:jc w:val="center"/>
              <w:rPr>
                <w:rFonts w:cstheme="minorHAnsi"/>
                <w:sz w:val="20"/>
                <w:szCs w:val="20"/>
                <w:lang w:val="en-GB"/>
              </w:rPr>
            </w:pPr>
            <w:proofErr w:type="spellStart"/>
            <w:r w:rsidRPr="00537527">
              <w:rPr>
                <w:rFonts w:cstheme="minorHAnsi"/>
                <w:sz w:val="20"/>
                <w:szCs w:val="20"/>
                <w:lang w:val="en-GB"/>
              </w:rPr>
              <w:t>DisSB</w:t>
            </w:r>
            <w:proofErr w:type="spellEnd"/>
          </w:p>
        </w:tc>
        <w:tc>
          <w:tcPr>
            <w:tcW w:w="1107" w:type="pct"/>
            <w:vMerge/>
            <w:tcBorders>
              <w:left w:val="nil"/>
              <w:bottom w:val="single" w:sz="4" w:space="0" w:color="auto"/>
              <w:right w:val="nil"/>
            </w:tcBorders>
            <w:vAlign w:val="center"/>
          </w:tcPr>
          <w:p w14:paraId="34664D62" w14:textId="77777777" w:rsidR="0097669A" w:rsidRPr="00537527" w:rsidRDefault="0097669A" w:rsidP="006459E8">
            <w:pPr>
              <w:spacing w:line="276" w:lineRule="auto"/>
              <w:jc w:val="center"/>
              <w:rPr>
                <w:rFonts w:cstheme="minorHAnsi"/>
                <w:sz w:val="20"/>
                <w:szCs w:val="28"/>
                <w:lang w:val="en-GB"/>
              </w:rPr>
            </w:pPr>
          </w:p>
        </w:tc>
      </w:tr>
    </w:tbl>
    <w:p w14:paraId="26A3319D" w14:textId="77777777" w:rsidR="0097669A" w:rsidRPr="00537527" w:rsidRDefault="0097669A" w:rsidP="0097669A">
      <w:pPr>
        <w:widowControl w:val="0"/>
        <w:autoSpaceDE w:val="0"/>
        <w:autoSpaceDN w:val="0"/>
        <w:adjustRightInd w:val="0"/>
        <w:spacing w:line="240" w:lineRule="auto"/>
        <w:ind w:left="480" w:hanging="480"/>
        <w:jc w:val="both"/>
        <w:rPr>
          <w:rFonts w:cstheme="minorHAnsi"/>
          <w:noProof/>
          <w:sz w:val="20"/>
          <w:lang w:val="en-GB"/>
        </w:rPr>
      </w:pPr>
    </w:p>
    <w:p w14:paraId="5DB32DF3" w14:textId="77777777" w:rsidR="0097669A" w:rsidRPr="00537527" w:rsidRDefault="0097669A" w:rsidP="0097669A">
      <w:pPr>
        <w:widowControl w:val="0"/>
        <w:autoSpaceDE w:val="0"/>
        <w:autoSpaceDN w:val="0"/>
        <w:adjustRightInd w:val="0"/>
        <w:spacing w:line="240" w:lineRule="auto"/>
        <w:ind w:left="480" w:hanging="480"/>
        <w:jc w:val="both"/>
        <w:rPr>
          <w:rFonts w:cstheme="minorHAnsi"/>
          <w:noProof/>
          <w:sz w:val="20"/>
          <w:lang w:val="en-GB"/>
        </w:rPr>
      </w:pPr>
    </w:p>
    <w:p w14:paraId="3DF69BEB" w14:textId="77777777" w:rsidR="0097669A" w:rsidRPr="00537527" w:rsidRDefault="0097669A" w:rsidP="0097669A">
      <w:pPr>
        <w:rPr>
          <w:rFonts w:cstheme="minorHAnsi"/>
          <w:sz w:val="20"/>
          <w:szCs w:val="20"/>
          <w:lang w:val="en-GB"/>
        </w:rPr>
        <w:sectPr w:rsidR="0097669A" w:rsidRPr="00537527" w:rsidSect="001363B7">
          <w:pgSz w:w="11906" w:h="16838"/>
          <w:pgMar w:top="1417" w:right="1135" w:bottom="1417" w:left="993" w:header="708" w:footer="708" w:gutter="0"/>
          <w:cols w:space="708"/>
          <w:docGrid w:linePitch="360"/>
        </w:sectPr>
      </w:pPr>
    </w:p>
    <w:p w14:paraId="38C85BA4" w14:textId="77777777" w:rsidR="0097669A" w:rsidRPr="00537527" w:rsidRDefault="0097669A" w:rsidP="0097669A">
      <w:pPr>
        <w:pStyle w:val="Ttulo1"/>
        <w:jc w:val="center"/>
        <w:rPr>
          <w:rFonts w:asciiTheme="minorHAnsi" w:eastAsia="Times New Roman" w:hAnsiTheme="minorHAnsi" w:cstheme="minorHAnsi"/>
          <w:b w:val="0"/>
          <w:bCs w:val="0"/>
          <w:lang w:val="en-GB"/>
        </w:rPr>
      </w:pPr>
      <w:r w:rsidRPr="00537527">
        <w:rPr>
          <w:rFonts w:asciiTheme="minorHAnsi" w:eastAsia="Times New Roman" w:hAnsiTheme="minorHAnsi" w:cstheme="minorHAnsi"/>
          <w:lang w:val="en-GB"/>
        </w:rPr>
        <w:lastRenderedPageBreak/>
        <w:t xml:space="preserve">B. </w:t>
      </w:r>
      <w:bookmarkStart w:id="31" w:name="_Hlk2089263"/>
      <w:r w:rsidRPr="00537527">
        <w:rPr>
          <w:rFonts w:asciiTheme="minorHAnsi" w:eastAsia="Times New Roman" w:hAnsiTheme="minorHAnsi" w:cstheme="minorHAnsi"/>
          <w:lang w:val="en-GB"/>
        </w:rPr>
        <w:t>Density surface models</w:t>
      </w:r>
    </w:p>
    <w:p w14:paraId="69B2B9F1" w14:textId="77777777" w:rsidR="0097669A" w:rsidRPr="00537527" w:rsidRDefault="0097669A" w:rsidP="0097669A">
      <w:pPr>
        <w:spacing w:line="276" w:lineRule="auto"/>
        <w:jc w:val="both"/>
        <w:rPr>
          <w:rFonts w:cstheme="minorHAnsi"/>
          <w:noProof/>
          <w:sz w:val="20"/>
          <w:szCs w:val="20"/>
          <w:lang w:val="en-GB"/>
        </w:rPr>
      </w:pPr>
      <w:r w:rsidRPr="00537527">
        <w:rPr>
          <w:rFonts w:cstheme="minorHAnsi"/>
          <w:b/>
          <w:bCs/>
          <w:noProof/>
          <w:sz w:val="20"/>
          <w:szCs w:val="20"/>
          <w:lang w:val="en-GB"/>
        </w:rPr>
        <w:t>Table B.1.</w:t>
      </w:r>
      <w:r w:rsidRPr="00537527">
        <w:rPr>
          <w:rFonts w:cstheme="minorHAnsi"/>
          <w:noProof/>
          <w:sz w:val="20"/>
          <w:szCs w:val="20"/>
          <w:lang w:val="en-GB"/>
        </w:rPr>
        <w:t xml:space="preserve"> Results of the best fitted detection functions as part of Distance Sampling density estimation of great shearwater. Key: type of detection function; Co-variates: environmental covariates used to perform MCDS (Multi Covariate Distance Sampling) analysis; Cramér-von Mises P: p-value of Cramer-von Mises goodness-of-fit statistics; Pa: averaged detection probability; SE Pa: standard error of detection probability; Parameters: number of parameters included in the detection function; AIC: Akaike Information Criteria, ∆ AIC: delta AIC. Selected detection function is shown in blue. </w:t>
      </w:r>
    </w:p>
    <w:tbl>
      <w:tblPr>
        <w:tblStyle w:val="Tablaconcuadrcula"/>
        <w:tblW w:w="45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3343"/>
        <w:gridCol w:w="2488"/>
        <w:gridCol w:w="1132"/>
        <w:gridCol w:w="1129"/>
        <w:gridCol w:w="1176"/>
        <w:gridCol w:w="1132"/>
        <w:gridCol w:w="1122"/>
      </w:tblGrid>
      <w:tr w:rsidR="0097669A" w:rsidRPr="00537527" w14:paraId="5651BCCD" w14:textId="77777777" w:rsidTr="006459E8">
        <w:trPr>
          <w:trHeight w:val="397"/>
          <w:jc w:val="center"/>
        </w:trPr>
        <w:tc>
          <w:tcPr>
            <w:tcW w:w="508" w:type="pct"/>
            <w:tcBorders>
              <w:bottom w:val="single" w:sz="12" w:space="0" w:color="000000" w:themeColor="text1"/>
            </w:tcBorders>
            <w:noWrap/>
            <w:vAlign w:val="center"/>
            <w:hideMark/>
          </w:tcPr>
          <w:p w14:paraId="0894304A"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Key</w:t>
            </w:r>
          </w:p>
        </w:tc>
        <w:tc>
          <w:tcPr>
            <w:tcW w:w="1306" w:type="pct"/>
            <w:tcBorders>
              <w:bottom w:val="single" w:sz="12" w:space="0" w:color="000000" w:themeColor="text1"/>
            </w:tcBorders>
            <w:vAlign w:val="center"/>
          </w:tcPr>
          <w:p w14:paraId="380D4347"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Co-variates</w:t>
            </w:r>
          </w:p>
        </w:tc>
        <w:tc>
          <w:tcPr>
            <w:tcW w:w="972" w:type="pct"/>
            <w:tcBorders>
              <w:bottom w:val="single" w:sz="12" w:space="0" w:color="000000" w:themeColor="text1"/>
            </w:tcBorders>
            <w:noWrap/>
            <w:vAlign w:val="center"/>
            <w:hideMark/>
          </w:tcPr>
          <w:p w14:paraId="6FDABDB4" w14:textId="77777777" w:rsidR="0097669A" w:rsidRPr="00537527" w:rsidRDefault="0097669A" w:rsidP="006459E8">
            <w:pPr>
              <w:jc w:val="center"/>
              <w:rPr>
                <w:rFonts w:cstheme="minorHAnsi"/>
                <w:b/>
                <w:bCs/>
                <w:sz w:val="20"/>
                <w:szCs w:val="20"/>
                <w:lang w:val="en-GB"/>
              </w:rPr>
            </w:pPr>
            <w:proofErr w:type="spellStart"/>
            <w:r w:rsidRPr="00537527">
              <w:rPr>
                <w:rFonts w:cstheme="minorHAnsi"/>
                <w:b/>
                <w:bCs/>
                <w:sz w:val="20"/>
                <w:szCs w:val="20"/>
                <w:lang w:val="en-GB"/>
              </w:rPr>
              <w:t>Cramér</w:t>
            </w:r>
            <w:proofErr w:type="spellEnd"/>
            <w:r w:rsidRPr="00537527">
              <w:rPr>
                <w:rFonts w:cstheme="minorHAnsi"/>
                <w:b/>
                <w:bCs/>
                <w:sz w:val="20"/>
                <w:szCs w:val="20"/>
                <w:lang w:val="en-GB"/>
              </w:rPr>
              <w:t xml:space="preserve">-von Mises </w:t>
            </w:r>
            <w:r w:rsidRPr="00537527">
              <w:rPr>
                <w:rFonts w:cstheme="minorHAnsi"/>
                <w:b/>
                <w:bCs/>
                <w:i/>
                <w:iCs/>
                <w:sz w:val="20"/>
                <w:szCs w:val="20"/>
                <w:lang w:val="en-GB"/>
              </w:rPr>
              <w:t>P</w:t>
            </w:r>
          </w:p>
        </w:tc>
        <w:tc>
          <w:tcPr>
            <w:tcW w:w="443" w:type="pct"/>
            <w:tcBorders>
              <w:bottom w:val="single" w:sz="12" w:space="0" w:color="000000" w:themeColor="text1"/>
            </w:tcBorders>
            <w:noWrap/>
            <w:vAlign w:val="center"/>
            <w:hideMark/>
          </w:tcPr>
          <w:p w14:paraId="35AC8419"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Pa</w:t>
            </w:r>
          </w:p>
        </w:tc>
        <w:tc>
          <w:tcPr>
            <w:tcW w:w="442" w:type="pct"/>
            <w:tcBorders>
              <w:bottom w:val="single" w:sz="12" w:space="0" w:color="000000" w:themeColor="text1"/>
            </w:tcBorders>
            <w:noWrap/>
            <w:vAlign w:val="center"/>
            <w:hideMark/>
          </w:tcPr>
          <w:p w14:paraId="36548787"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SE Pa</w:t>
            </w:r>
          </w:p>
        </w:tc>
        <w:tc>
          <w:tcPr>
            <w:tcW w:w="447" w:type="pct"/>
            <w:tcBorders>
              <w:bottom w:val="single" w:sz="12" w:space="0" w:color="000000" w:themeColor="text1"/>
            </w:tcBorders>
            <w:vAlign w:val="center"/>
          </w:tcPr>
          <w:p w14:paraId="63E014B7"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Parameters</w:t>
            </w:r>
          </w:p>
        </w:tc>
        <w:tc>
          <w:tcPr>
            <w:tcW w:w="443" w:type="pct"/>
            <w:tcBorders>
              <w:bottom w:val="single" w:sz="12" w:space="0" w:color="000000" w:themeColor="text1"/>
            </w:tcBorders>
            <w:vAlign w:val="center"/>
          </w:tcPr>
          <w:p w14:paraId="2687A60B"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AIC</w:t>
            </w:r>
          </w:p>
        </w:tc>
        <w:tc>
          <w:tcPr>
            <w:tcW w:w="439" w:type="pct"/>
            <w:tcBorders>
              <w:bottom w:val="single" w:sz="12" w:space="0" w:color="000000" w:themeColor="text1"/>
            </w:tcBorders>
            <w:noWrap/>
            <w:vAlign w:val="center"/>
            <w:hideMark/>
          </w:tcPr>
          <w:p w14:paraId="3CF9CD9C" w14:textId="77777777" w:rsidR="0097669A" w:rsidRPr="00537527" w:rsidRDefault="0097669A" w:rsidP="006459E8">
            <w:pPr>
              <w:jc w:val="center"/>
              <w:rPr>
                <w:rFonts w:cstheme="minorHAnsi"/>
                <w:b/>
                <w:bCs/>
                <w:sz w:val="20"/>
                <w:szCs w:val="20"/>
                <w:lang w:val="en-GB"/>
              </w:rPr>
            </w:pPr>
            <w:r w:rsidRPr="00537527">
              <w:rPr>
                <w:rFonts w:cstheme="minorHAnsi"/>
                <w:b/>
                <w:bCs/>
                <w:sz w:val="20"/>
                <w:szCs w:val="20"/>
                <w:lang w:val="en-GB"/>
              </w:rPr>
              <w:t>∆ AIC</w:t>
            </w:r>
          </w:p>
        </w:tc>
      </w:tr>
      <w:tr w:rsidR="0097669A" w:rsidRPr="00537527" w14:paraId="38F0CE98" w14:textId="77777777" w:rsidTr="006459E8">
        <w:trPr>
          <w:trHeight w:val="397"/>
          <w:jc w:val="center"/>
        </w:trPr>
        <w:tc>
          <w:tcPr>
            <w:tcW w:w="508" w:type="pct"/>
            <w:tcBorders>
              <w:top w:val="single" w:sz="12" w:space="0" w:color="000000" w:themeColor="text1"/>
            </w:tcBorders>
            <w:noWrap/>
            <w:vAlign w:val="center"/>
            <w:hideMark/>
          </w:tcPr>
          <w:p w14:paraId="18C4EA3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tcBorders>
              <w:top w:val="single" w:sz="12" w:space="0" w:color="000000" w:themeColor="text1"/>
            </w:tcBorders>
            <w:vAlign w:val="center"/>
          </w:tcPr>
          <w:p w14:paraId="555A802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Beaufort sea-state</w:t>
            </w:r>
          </w:p>
        </w:tc>
        <w:tc>
          <w:tcPr>
            <w:tcW w:w="972" w:type="pct"/>
            <w:tcBorders>
              <w:top w:val="single" w:sz="12" w:space="0" w:color="000000" w:themeColor="text1"/>
            </w:tcBorders>
            <w:noWrap/>
            <w:vAlign w:val="center"/>
            <w:hideMark/>
          </w:tcPr>
          <w:p w14:paraId="0BF3EE4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0.528</w:t>
            </w:r>
          </w:p>
        </w:tc>
        <w:tc>
          <w:tcPr>
            <w:tcW w:w="443" w:type="pct"/>
            <w:tcBorders>
              <w:top w:val="single" w:sz="12" w:space="0" w:color="000000" w:themeColor="text1"/>
            </w:tcBorders>
            <w:noWrap/>
            <w:vAlign w:val="center"/>
            <w:hideMark/>
          </w:tcPr>
          <w:p w14:paraId="2809E36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0.284</w:t>
            </w:r>
          </w:p>
        </w:tc>
        <w:tc>
          <w:tcPr>
            <w:tcW w:w="442" w:type="pct"/>
            <w:tcBorders>
              <w:top w:val="single" w:sz="12" w:space="0" w:color="000000" w:themeColor="text1"/>
            </w:tcBorders>
            <w:noWrap/>
            <w:vAlign w:val="center"/>
            <w:hideMark/>
          </w:tcPr>
          <w:p w14:paraId="1E65C1A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tcBorders>
              <w:top w:val="single" w:sz="12" w:space="0" w:color="000000" w:themeColor="text1"/>
            </w:tcBorders>
            <w:vAlign w:val="center"/>
          </w:tcPr>
          <w:p w14:paraId="40C4133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13</w:t>
            </w:r>
          </w:p>
        </w:tc>
        <w:tc>
          <w:tcPr>
            <w:tcW w:w="443" w:type="pct"/>
            <w:tcBorders>
              <w:top w:val="single" w:sz="12" w:space="0" w:color="000000" w:themeColor="text1"/>
            </w:tcBorders>
            <w:vAlign w:val="center"/>
          </w:tcPr>
          <w:p w14:paraId="3D21169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11363.10</w:t>
            </w:r>
          </w:p>
        </w:tc>
        <w:tc>
          <w:tcPr>
            <w:tcW w:w="439" w:type="pct"/>
            <w:tcBorders>
              <w:top w:val="single" w:sz="12" w:space="0" w:color="000000" w:themeColor="text1"/>
            </w:tcBorders>
            <w:noWrap/>
            <w:vAlign w:val="center"/>
            <w:hideMark/>
          </w:tcPr>
          <w:p w14:paraId="396D80B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w:t>
            </w:r>
          </w:p>
        </w:tc>
      </w:tr>
      <w:tr w:rsidR="0097669A" w:rsidRPr="00537527" w14:paraId="2F9D3E78" w14:textId="77777777" w:rsidTr="006459E8">
        <w:trPr>
          <w:trHeight w:val="397"/>
          <w:jc w:val="center"/>
        </w:trPr>
        <w:tc>
          <w:tcPr>
            <w:tcW w:w="508" w:type="pct"/>
            <w:noWrap/>
            <w:vAlign w:val="center"/>
          </w:tcPr>
          <w:p w14:paraId="09326155"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Hazard-rate</w:t>
            </w:r>
          </w:p>
        </w:tc>
        <w:tc>
          <w:tcPr>
            <w:tcW w:w="1306" w:type="pct"/>
            <w:vAlign w:val="center"/>
          </w:tcPr>
          <w:p w14:paraId="6CCCB1A0"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Year + Swell height categorized</w:t>
            </w:r>
          </w:p>
        </w:tc>
        <w:tc>
          <w:tcPr>
            <w:tcW w:w="972" w:type="pct"/>
            <w:noWrap/>
            <w:vAlign w:val="center"/>
            <w:hideMark/>
          </w:tcPr>
          <w:p w14:paraId="03C7265D"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0.554</w:t>
            </w:r>
          </w:p>
        </w:tc>
        <w:tc>
          <w:tcPr>
            <w:tcW w:w="443" w:type="pct"/>
            <w:noWrap/>
            <w:vAlign w:val="center"/>
            <w:hideMark/>
          </w:tcPr>
          <w:p w14:paraId="0A176C2B"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0.284</w:t>
            </w:r>
          </w:p>
        </w:tc>
        <w:tc>
          <w:tcPr>
            <w:tcW w:w="442" w:type="pct"/>
            <w:noWrap/>
            <w:vAlign w:val="center"/>
            <w:hideMark/>
          </w:tcPr>
          <w:p w14:paraId="3F9D71CE"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0.012</w:t>
            </w:r>
          </w:p>
        </w:tc>
        <w:tc>
          <w:tcPr>
            <w:tcW w:w="447" w:type="pct"/>
            <w:vAlign w:val="center"/>
          </w:tcPr>
          <w:p w14:paraId="1623D0EB"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11</w:t>
            </w:r>
          </w:p>
        </w:tc>
        <w:tc>
          <w:tcPr>
            <w:tcW w:w="443" w:type="pct"/>
            <w:vAlign w:val="center"/>
          </w:tcPr>
          <w:p w14:paraId="77127C1E"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11364.25</w:t>
            </w:r>
          </w:p>
        </w:tc>
        <w:tc>
          <w:tcPr>
            <w:tcW w:w="439" w:type="pct"/>
            <w:noWrap/>
            <w:vAlign w:val="center"/>
            <w:hideMark/>
          </w:tcPr>
          <w:p w14:paraId="1B30864F" w14:textId="77777777" w:rsidR="0097669A" w:rsidRPr="00537527" w:rsidRDefault="0097669A" w:rsidP="006459E8">
            <w:pPr>
              <w:jc w:val="center"/>
              <w:rPr>
                <w:rFonts w:cstheme="minorHAnsi"/>
                <w:b/>
                <w:bCs/>
                <w:color w:val="4F81BD" w:themeColor="accent1"/>
                <w:sz w:val="20"/>
                <w:szCs w:val="20"/>
                <w:lang w:val="en-GB"/>
              </w:rPr>
            </w:pPr>
            <w:r w:rsidRPr="00537527">
              <w:rPr>
                <w:rFonts w:cstheme="minorHAnsi"/>
                <w:b/>
                <w:bCs/>
                <w:color w:val="4F81BD" w:themeColor="accent1"/>
                <w:sz w:val="20"/>
                <w:szCs w:val="20"/>
                <w:lang w:val="en-GB"/>
              </w:rPr>
              <w:t>1.15</w:t>
            </w:r>
          </w:p>
        </w:tc>
      </w:tr>
      <w:tr w:rsidR="0097669A" w:rsidRPr="00537527" w14:paraId="1C0B9296" w14:textId="77777777" w:rsidTr="006459E8">
        <w:trPr>
          <w:trHeight w:val="397"/>
          <w:jc w:val="center"/>
        </w:trPr>
        <w:tc>
          <w:tcPr>
            <w:tcW w:w="508" w:type="pct"/>
            <w:noWrap/>
            <w:vAlign w:val="center"/>
          </w:tcPr>
          <w:p w14:paraId="3E725D2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446CA006"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Cloud coverage categorized</w:t>
            </w:r>
          </w:p>
        </w:tc>
        <w:tc>
          <w:tcPr>
            <w:tcW w:w="972" w:type="pct"/>
            <w:noWrap/>
            <w:vAlign w:val="center"/>
            <w:hideMark/>
          </w:tcPr>
          <w:p w14:paraId="1643CD8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0.559</w:t>
            </w:r>
          </w:p>
        </w:tc>
        <w:tc>
          <w:tcPr>
            <w:tcW w:w="443" w:type="pct"/>
            <w:noWrap/>
            <w:vAlign w:val="center"/>
            <w:hideMark/>
          </w:tcPr>
          <w:p w14:paraId="422FF16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0.286</w:t>
            </w:r>
          </w:p>
        </w:tc>
        <w:tc>
          <w:tcPr>
            <w:tcW w:w="442" w:type="pct"/>
            <w:noWrap/>
            <w:vAlign w:val="center"/>
            <w:hideMark/>
          </w:tcPr>
          <w:p w14:paraId="444DF6C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7E02219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w:t>
            </w:r>
          </w:p>
        </w:tc>
        <w:tc>
          <w:tcPr>
            <w:tcW w:w="443" w:type="pct"/>
            <w:vAlign w:val="center"/>
          </w:tcPr>
          <w:p w14:paraId="32D069A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11368.75</w:t>
            </w:r>
          </w:p>
        </w:tc>
        <w:tc>
          <w:tcPr>
            <w:tcW w:w="439" w:type="pct"/>
            <w:noWrap/>
            <w:vAlign w:val="center"/>
            <w:hideMark/>
          </w:tcPr>
          <w:p w14:paraId="007177B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5.65</w:t>
            </w:r>
          </w:p>
        </w:tc>
      </w:tr>
      <w:tr w:rsidR="0097669A" w:rsidRPr="00537527" w14:paraId="15366769" w14:textId="77777777" w:rsidTr="006459E8">
        <w:trPr>
          <w:trHeight w:val="397"/>
          <w:jc w:val="center"/>
        </w:trPr>
        <w:tc>
          <w:tcPr>
            <w:tcW w:w="508" w:type="pct"/>
            <w:noWrap/>
            <w:vAlign w:val="center"/>
          </w:tcPr>
          <w:p w14:paraId="030340D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2EDA3302"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w:t>
            </w:r>
          </w:p>
        </w:tc>
        <w:tc>
          <w:tcPr>
            <w:tcW w:w="972" w:type="pct"/>
            <w:noWrap/>
            <w:vAlign w:val="center"/>
            <w:hideMark/>
          </w:tcPr>
          <w:p w14:paraId="03E3A1D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0.486</w:t>
            </w:r>
          </w:p>
        </w:tc>
        <w:tc>
          <w:tcPr>
            <w:tcW w:w="443" w:type="pct"/>
            <w:noWrap/>
            <w:vAlign w:val="center"/>
            <w:hideMark/>
          </w:tcPr>
          <w:p w14:paraId="4EC4A09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0.287</w:t>
            </w:r>
          </w:p>
        </w:tc>
        <w:tc>
          <w:tcPr>
            <w:tcW w:w="442" w:type="pct"/>
            <w:noWrap/>
            <w:vAlign w:val="center"/>
            <w:hideMark/>
          </w:tcPr>
          <w:p w14:paraId="68519D2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1E05DC19"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8</w:t>
            </w:r>
          </w:p>
        </w:tc>
        <w:tc>
          <w:tcPr>
            <w:tcW w:w="443" w:type="pct"/>
            <w:vAlign w:val="center"/>
          </w:tcPr>
          <w:p w14:paraId="61D96E2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11368.75</w:t>
            </w:r>
          </w:p>
        </w:tc>
        <w:tc>
          <w:tcPr>
            <w:tcW w:w="439" w:type="pct"/>
            <w:noWrap/>
            <w:vAlign w:val="center"/>
            <w:hideMark/>
          </w:tcPr>
          <w:p w14:paraId="6D634AB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5.65</w:t>
            </w:r>
          </w:p>
        </w:tc>
      </w:tr>
      <w:tr w:rsidR="0097669A" w:rsidRPr="00537527" w14:paraId="791E7315" w14:textId="77777777" w:rsidTr="006459E8">
        <w:trPr>
          <w:trHeight w:val="397"/>
          <w:jc w:val="center"/>
        </w:trPr>
        <w:tc>
          <w:tcPr>
            <w:tcW w:w="508" w:type="pct"/>
            <w:noWrap/>
            <w:vAlign w:val="center"/>
          </w:tcPr>
          <w:p w14:paraId="6329F6A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5BE7E71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Beaufort sea-state categorized</w:t>
            </w:r>
          </w:p>
        </w:tc>
        <w:tc>
          <w:tcPr>
            <w:tcW w:w="972" w:type="pct"/>
            <w:noWrap/>
            <w:vAlign w:val="center"/>
            <w:hideMark/>
          </w:tcPr>
          <w:p w14:paraId="6A9849D2"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0.588</w:t>
            </w:r>
          </w:p>
        </w:tc>
        <w:tc>
          <w:tcPr>
            <w:tcW w:w="443" w:type="pct"/>
            <w:noWrap/>
            <w:vAlign w:val="center"/>
            <w:hideMark/>
          </w:tcPr>
          <w:p w14:paraId="6F54E48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0.284</w:t>
            </w:r>
          </w:p>
        </w:tc>
        <w:tc>
          <w:tcPr>
            <w:tcW w:w="442" w:type="pct"/>
            <w:noWrap/>
            <w:vAlign w:val="center"/>
            <w:hideMark/>
          </w:tcPr>
          <w:p w14:paraId="26D0678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241FDD4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10</w:t>
            </w:r>
          </w:p>
        </w:tc>
        <w:tc>
          <w:tcPr>
            <w:tcW w:w="443" w:type="pct"/>
            <w:vAlign w:val="center"/>
          </w:tcPr>
          <w:p w14:paraId="75792B6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11368.96</w:t>
            </w:r>
          </w:p>
        </w:tc>
        <w:tc>
          <w:tcPr>
            <w:tcW w:w="439" w:type="pct"/>
            <w:noWrap/>
            <w:vAlign w:val="center"/>
            <w:hideMark/>
          </w:tcPr>
          <w:p w14:paraId="4483389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5.85</w:t>
            </w:r>
          </w:p>
        </w:tc>
      </w:tr>
      <w:tr w:rsidR="0097669A" w:rsidRPr="00537527" w14:paraId="2F00D08E" w14:textId="77777777" w:rsidTr="006459E8">
        <w:trPr>
          <w:trHeight w:val="397"/>
          <w:jc w:val="center"/>
        </w:trPr>
        <w:tc>
          <w:tcPr>
            <w:tcW w:w="508" w:type="pct"/>
            <w:noWrap/>
            <w:vAlign w:val="center"/>
          </w:tcPr>
          <w:p w14:paraId="2031ED5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366B984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Visibility categorized</w:t>
            </w:r>
          </w:p>
        </w:tc>
        <w:tc>
          <w:tcPr>
            <w:tcW w:w="972" w:type="pct"/>
            <w:noWrap/>
            <w:vAlign w:val="center"/>
            <w:hideMark/>
          </w:tcPr>
          <w:p w14:paraId="58BE6616"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0.487</w:t>
            </w:r>
          </w:p>
        </w:tc>
        <w:tc>
          <w:tcPr>
            <w:tcW w:w="443" w:type="pct"/>
            <w:noWrap/>
            <w:vAlign w:val="center"/>
            <w:hideMark/>
          </w:tcPr>
          <w:p w14:paraId="1B5F48F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0.287</w:t>
            </w:r>
          </w:p>
        </w:tc>
        <w:tc>
          <w:tcPr>
            <w:tcW w:w="442" w:type="pct"/>
            <w:noWrap/>
            <w:vAlign w:val="center"/>
            <w:hideMark/>
          </w:tcPr>
          <w:p w14:paraId="317EDF9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6B54254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9</w:t>
            </w:r>
          </w:p>
        </w:tc>
        <w:tc>
          <w:tcPr>
            <w:tcW w:w="443" w:type="pct"/>
            <w:vAlign w:val="center"/>
          </w:tcPr>
          <w:p w14:paraId="1626FFF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11370.75</w:t>
            </w:r>
          </w:p>
        </w:tc>
        <w:tc>
          <w:tcPr>
            <w:tcW w:w="439" w:type="pct"/>
            <w:noWrap/>
            <w:vAlign w:val="center"/>
            <w:hideMark/>
          </w:tcPr>
          <w:p w14:paraId="713590C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7.65</w:t>
            </w:r>
          </w:p>
        </w:tc>
      </w:tr>
      <w:tr w:rsidR="0097669A" w:rsidRPr="00537527" w14:paraId="6B9CB49B" w14:textId="77777777" w:rsidTr="006459E8">
        <w:trPr>
          <w:trHeight w:val="397"/>
          <w:jc w:val="center"/>
        </w:trPr>
        <w:tc>
          <w:tcPr>
            <w:tcW w:w="508" w:type="pct"/>
            <w:noWrap/>
            <w:vAlign w:val="center"/>
          </w:tcPr>
          <w:p w14:paraId="4D4DA789"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3721055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Overall detection conditions</w:t>
            </w:r>
          </w:p>
        </w:tc>
        <w:tc>
          <w:tcPr>
            <w:tcW w:w="972" w:type="pct"/>
            <w:noWrap/>
            <w:vAlign w:val="center"/>
            <w:hideMark/>
          </w:tcPr>
          <w:p w14:paraId="08D6BAE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0.498</w:t>
            </w:r>
          </w:p>
        </w:tc>
        <w:tc>
          <w:tcPr>
            <w:tcW w:w="443" w:type="pct"/>
            <w:noWrap/>
            <w:vAlign w:val="center"/>
            <w:hideMark/>
          </w:tcPr>
          <w:p w14:paraId="30CC7FF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0.287</w:t>
            </w:r>
          </w:p>
        </w:tc>
        <w:tc>
          <w:tcPr>
            <w:tcW w:w="442" w:type="pct"/>
            <w:noWrap/>
            <w:vAlign w:val="center"/>
            <w:hideMark/>
          </w:tcPr>
          <w:p w14:paraId="3055F6FB"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6CF0C34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10</w:t>
            </w:r>
          </w:p>
        </w:tc>
        <w:tc>
          <w:tcPr>
            <w:tcW w:w="443" w:type="pct"/>
            <w:vAlign w:val="center"/>
          </w:tcPr>
          <w:p w14:paraId="6B7FD78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11370.87</w:t>
            </w:r>
          </w:p>
        </w:tc>
        <w:tc>
          <w:tcPr>
            <w:tcW w:w="439" w:type="pct"/>
            <w:noWrap/>
            <w:vAlign w:val="center"/>
            <w:hideMark/>
          </w:tcPr>
          <w:p w14:paraId="227B349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7.77</w:t>
            </w:r>
          </w:p>
        </w:tc>
      </w:tr>
      <w:tr w:rsidR="0097669A" w:rsidRPr="00537527" w14:paraId="676AE28F" w14:textId="77777777" w:rsidTr="006459E8">
        <w:trPr>
          <w:trHeight w:val="397"/>
          <w:jc w:val="center"/>
        </w:trPr>
        <w:tc>
          <w:tcPr>
            <w:tcW w:w="508" w:type="pct"/>
            <w:noWrap/>
            <w:vAlign w:val="center"/>
          </w:tcPr>
          <w:p w14:paraId="75C989E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4FBC5CD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Visibility</w:t>
            </w:r>
          </w:p>
        </w:tc>
        <w:tc>
          <w:tcPr>
            <w:tcW w:w="972" w:type="pct"/>
            <w:noWrap/>
            <w:vAlign w:val="center"/>
            <w:hideMark/>
          </w:tcPr>
          <w:p w14:paraId="0841F8E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0.467</w:t>
            </w:r>
          </w:p>
        </w:tc>
        <w:tc>
          <w:tcPr>
            <w:tcW w:w="443" w:type="pct"/>
            <w:noWrap/>
            <w:vAlign w:val="center"/>
            <w:hideMark/>
          </w:tcPr>
          <w:p w14:paraId="65F5644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0.288</w:t>
            </w:r>
          </w:p>
        </w:tc>
        <w:tc>
          <w:tcPr>
            <w:tcW w:w="442" w:type="pct"/>
            <w:noWrap/>
            <w:vAlign w:val="center"/>
            <w:hideMark/>
          </w:tcPr>
          <w:p w14:paraId="12147C1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36E8593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10</w:t>
            </w:r>
          </w:p>
        </w:tc>
        <w:tc>
          <w:tcPr>
            <w:tcW w:w="443" w:type="pct"/>
            <w:vAlign w:val="center"/>
          </w:tcPr>
          <w:p w14:paraId="0AB35FE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11372.23</w:t>
            </w:r>
          </w:p>
        </w:tc>
        <w:tc>
          <w:tcPr>
            <w:tcW w:w="439" w:type="pct"/>
            <w:noWrap/>
            <w:vAlign w:val="center"/>
            <w:hideMark/>
          </w:tcPr>
          <w:p w14:paraId="1E741C3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9.13</w:t>
            </w:r>
          </w:p>
        </w:tc>
      </w:tr>
      <w:tr w:rsidR="0097669A" w:rsidRPr="00537527" w14:paraId="16DC20E0" w14:textId="77777777" w:rsidTr="006459E8">
        <w:trPr>
          <w:trHeight w:val="397"/>
          <w:jc w:val="center"/>
        </w:trPr>
        <w:tc>
          <w:tcPr>
            <w:tcW w:w="508" w:type="pct"/>
            <w:noWrap/>
            <w:vAlign w:val="center"/>
          </w:tcPr>
          <w:p w14:paraId="0A8288D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4CC7F0AD"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Year + Cloud coverage</w:t>
            </w:r>
          </w:p>
        </w:tc>
        <w:tc>
          <w:tcPr>
            <w:tcW w:w="972" w:type="pct"/>
            <w:noWrap/>
            <w:vAlign w:val="center"/>
            <w:hideMark/>
          </w:tcPr>
          <w:p w14:paraId="2D68F78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0.566</w:t>
            </w:r>
          </w:p>
        </w:tc>
        <w:tc>
          <w:tcPr>
            <w:tcW w:w="443" w:type="pct"/>
            <w:noWrap/>
            <w:vAlign w:val="center"/>
            <w:hideMark/>
          </w:tcPr>
          <w:p w14:paraId="2EEC2E3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0.285</w:t>
            </w:r>
          </w:p>
        </w:tc>
        <w:tc>
          <w:tcPr>
            <w:tcW w:w="442" w:type="pct"/>
            <w:noWrap/>
            <w:vAlign w:val="center"/>
            <w:hideMark/>
          </w:tcPr>
          <w:p w14:paraId="35B4B9D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0.012</w:t>
            </w:r>
          </w:p>
        </w:tc>
        <w:tc>
          <w:tcPr>
            <w:tcW w:w="447" w:type="pct"/>
            <w:vAlign w:val="center"/>
          </w:tcPr>
          <w:p w14:paraId="714AFF4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15</w:t>
            </w:r>
          </w:p>
        </w:tc>
        <w:tc>
          <w:tcPr>
            <w:tcW w:w="443" w:type="pct"/>
            <w:vAlign w:val="center"/>
          </w:tcPr>
          <w:p w14:paraId="652FC57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11373.10</w:t>
            </w:r>
          </w:p>
        </w:tc>
        <w:tc>
          <w:tcPr>
            <w:tcW w:w="439" w:type="pct"/>
            <w:noWrap/>
            <w:vAlign w:val="center"/>
            <w:hideMark/>
          </w:tcPr>
          <w:p w14:paraId="74B6760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9.99</w:t>
            </w:r>
          </w:p>
        </w:tc>
      </w:tr>
      <w:tr w:rsidR="0097669A" w:rsidRPr="00537527" w14:paraId="4ED5CEE9" w14:textId="77777777" w:rsidTr="006459E8">
        <w:trPr>
          <w:trHeight w:val="397"/>
          <w:jc w:val="center"/>
        </w:trPr>
        <w:tc>
          <w:tcPr>
            <w:tcW w:w="508" w:type="pct"/>
            <w:noWrap/>
            <w:vAlign w:val="center"/>
          </w:tcPr>
          <w:p w14:paraId="15E5FBE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32FEA909"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Beaufort sea-state</w:t>
            </w:r>
          </w:p>
        </w:tc>
        <w:tc>
          <w:tcPr>
            <w:tcW w:w="972" w:type="pct"/>
            <w:noWrap/>
            <w:vAlign w:val="center"/>
            <w:hideMark/>
          </w:tcPr>
          <w:p w14:paraId="6EA7945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0.790</w:t>
            </w:r>
          </w:p>
        </w:tc>
        <w:tc>
          <w:tcPr>
            <w:tcW w:w="443" w:type="pct"/>
            <w:noWrap/>
            <w:vAlign w:val="center"/>
            <w:hideMark/>
          </w:tcPr>
          <w:p w14:paraId="2DF3825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0.279</w:t>
            </w:r>
          </w:p>
        </w:tc>
        <w:tc>
          <w:tcPr>
            <w:tcW w:w="442" w:type="pct"/>
            <w:noWrap/>
            <w:vAlign w:val="center"/>
            <w:hideMark/>
          </w:tcPr>
          <w:p w14:paraId="71DAF85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0.013</w:t>
            </w:r>
          </w:p>
        </w:tc>
        <w:tc>
          <w:tcPr>
            <w:tcW w:w="447" w:type="pct"/>
            <w:vAlign w:val="center"/>
          </w:tcPr>
          <w:p w14:paraId="78756A01"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7</w:t>
            </w:r>
          </w:p>
        </w:tc>
        <w:tc>
          <w:tcPr>
            <w:tcW w:w="443" w:type="pct"/>
            <w:vAlign w:val="center"/>
          </w:tcPr>
          <w:p w14:paraId="4B70B142"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11435.76</w:t>
            </w:r>
          </w:p>
        </w:tc>
        <w:tc>
          <w:tcPr>
            <w:tcW w:w="439" w:type="pct"/>
            <w:noWrap/>
            <w:vAlign w:val="center"/>
            <w:hideMark/>
          </w:tcPr>
          <w:p w14:paraId="3D4D056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72.65</w:t>
            </w:r>
          </w:p>
        </w:tc>
      </w:tr>
      <w:tr w:rsidR="0097669A" w:rsidRPr="00537527" w14:paraId="62101B37" w14:textId="77777777" w:rsidTr="006459E8">
        <w:trPr>
          <w:trHeight w:val="397"/>
          <w:jc w:val="center"/>
        </w:trPr>
        <w:tc>
          <w:tcPr>
            <w:tcW w:w="508" w:type="pct"/>
            <w:noWrap/>
            <w:vAlign w:val="center"/>
          </w:tcPr>
          <w:p w14:paraId="7B6F8FD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01EE2B16"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Swell height categorized</w:t>
            </w:r>
          </w:p>
        </w:tc>
        <w:tc>
          <w:tcPr>
            <w:tcW w:w="972" w:type="pct"/>
            <w:noWrap/>
            <w:vAlign w:val="center"/>
            <w:hideMark/>
          </w:tcPr>
          <w:p w14:paraId="28F7A7C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0.844</w:t>
            </w:r>
          </w:p>
        </w:tc>
        <w:tc>
          <w:tcPr>
            <w:tcW w:w="443" w:type="pct"/>
            <w:noWrap/>
            <w:vAlign w:val="center"/>
            <w:hideMark/>
          </w:tcPr>
          <w:p w14:paraId="3FEBA33B"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0.279</w:t>
            </w:r>
          </w:p>
        </w:tc>
        <w:tc>
          <w:tcPr>
            <w:tcW w:w="442" w:type="pct"/>
            <w:noWrap/>
            <w:vAlign w:val="center"/>
            <w:hideMark/>
          </w:tcPr>
          <w:p w14:paraId="4DE1F28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0.013</w:t>
            </w:r>
          </w:p>
        </w:tc>
        <w:tc>
          <w:tcPr>
            <w:tcW w:w="447" w:type="pct"/>
            <w:vAlign w:val="center"/>
          </w:tcPr>
          <w:p w14:paraId="70226562"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5</w:t>
            </w:r>
          </w:p>
        </w:tc>
        <w:tc>
          <w:tcPr>
            <w:tcW w:w="443" w:type="pct"/>
            <w:vAlign w:val="center"/>
          </w:tcPr>
          <w:p w14:paraId="729844D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11448.31</w:t>
            </w:r>
          </w:p>
        </w:tc>
        <w:tc>
          <w:tcPr>
            <w:tcW w:w="439" w:type="pct"/>
            <w:noWrap/>
            <w:vAlign w:val="center"/>
            <w:hideMark/>
          </w:tcPr>
          <w:p w14:paraId="569660E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85.20</w:t>
            </w:r>
          </w:p>
        </w:tc>
      </w:tr>
      <w:tr w:rsidR="0097669A" w:rsidRPr="00537527" w14:paraId="5F4CFE58" w14:textId="77777777" w:rsidTr="006459E8">
        <w:trPr>
          <w:trHeight w:val="397"/>
          <w:jc w:val="center"/>
        </w:trPr>
        <w:tc>
          <w:tcPr>
            <w:tcW w:w="508" w:type="pct"/>
            <w:noWrap/>
            <w:vAlign w:val="center"/>
          </w:tcPr>
          <w:p w14:paraId="1EF0E7A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1AF3768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General conditions</w:t>
            </w:r>
          </w:p>
        </w:tc>
        <w:tc>
          <w:tcPr>
            <w:tcW w:w="972" w:type="pct"/>
            <w:noWrap/>
            <w:vAlign w:val="center"/>
            <w:hideMark/>
          </w:tcPr>
          <w:p w14:paraId="09175E8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0.841</w:t>
            </w:r>
          </w:p>
        </w:tc>
        <w:tc>
          <w:tcPr>
            <w:tcW w:w="443" w:type="pct"/>
            <w:noWrap/>
            <w:vAlign w:val="center"/>
            <w:hideMark/>
          </w:tcPr>
          <w:p w14:paraId="60933FE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0.280</w:t>
            </w:r>
          </w:p>
        </w:tc>
        <w:tc>
          <w:tcPr>
            <w:tcW w:w="442" w:type="pct"/>
            <w:noWrap/>
            <w:vAlign w:val="center"/>
            <w:hideMark/>
          </w:tcPr>
          <w:p w14:paraId="0C087F3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0.013</w:t>
            </w:r>
          </w:p>
        </w:tc>
        <w:tc>
          <w:tcPr>
            <w:tcW w:w="447" w:type="pct"/>
            <w:vAlign w:val="center"/>
          </w:tcPr>
          <w:p w14:paraId="3D04BD6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4</w:t>
            </w:r>
          </w:p>
        </w:tc>
        <w:tc>
          <w:tcPr>
            <w:tcW w:w="443" w:type="pct"/>
            <w:vAlign w:val="center"/>
          </w:tcPr>
          <w:p w14:paraId="79E2747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11448.94</w:t>
            </w:r>
          </w:p>
        </w:tc>
        <w:tc>
          <w:tcPr>
            <w:tcW w:w="439" w:type="pct"/>
            <w:noWrap/>
            <w:vAlign w:val="center"/>
            <w:hideMark/>
          </w:tcPr>
          <w:p w14:paraId="7F9A58C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85.83</w:t>
            </w:r>
          </w:p>
        </w:tc>
      </w:tr>
      <w:tr w:rsidR="0097669A" w:rsidRPr="00537527" w14:paraId="252FF2ED" w14:textId="77777777" w:rsidTr="006459E8">
        <w:trPr>
          <w:trHeight w:val="397"/>
          <w:jc w:val="center"/>
        </w:trPr>
        <w:tc>
          <w:tcPr>
            <w:tcW w:w="508" w:type="pct"/>
            <w:noWrap/>
            <w:vAlign w:val="center"/>
          </w:tcPr>
          <w:p w14:paraId="27C66264"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00B969CD"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Visibility categorized</w:t>
            </w:r>
          </w:p>
        </w:tc>
        <w:tc>
          <w:tcPr>
            <w:tcW w:w="972" w:type="pct"/>
            <w:noWrap/>
            <w:vAlign w:val="center"/>
            <w:hideMark/>
          </w:tcPr>
          <w:p w14:paraId="641C9E49"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0.848</w:t>
            </w:r>
          </w:p>
        </w:tc>
        <w:tc>
          <w:tcPr>
            <w:tcW w:w="443" w:type="pct"/>
            <w:noWrap/>
            <w:vAlign w:val="center"/>
            <w:hideMark/>
          </w:tcPr>
          <w:p w14:paraId="38F134E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0.281</w:t>
            </w:r>
          </w:p>
        </w:tc>
        <w:tc>
          <w:tcPr>
            <w:tcW w:w="442" w:type="pct"/>
            <w:noWrap/>
            <w:vAlign w:val="center"/>
            <w:hideMark/>
          </w:tcPr>
          <w:p w14:paraId="18886EAC"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0.013</w:t>
            </w:r>
          </w:p>
        </w:tc>
        <w:tc>
          <w:tcPr>
            <w:tcW w:w="447" w:type="pct"/>
            <w:vAlign w:val="center"/>
          </w:tcPr>
          <w:p w14:paraId="450A78A7"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3</w:t>
            </w:r>
          </w:p>
        </w:tc>
        <w:tc>
          <w:tcPr>
            <w:tcW w:w="443" w:type="pct"/>
            <w:vAlign w:val="center"/>
          </w:tcPr>
          <w:p w14:paraId="3DC3730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11449.91</w:t>
            </w:r>
          </w:p>
        </w:tc>
        <w:tc>
          <w:tcPr>
            <w:tcW w:w="439" w:type="pct"/>
            <w:noWrap/>
            <w:vAlign w:val="center"/>
            <w:hideMark/>
          </w:tcPr>
          <w:p w14:paraId="0E210E58"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86.81</w:t>
            </w:r>
          </w:p>
        </w:tc>
      </w:tr>
      <w:tr w:rsidR="0097669A" w:rsidRPr="00537527" w14:paraId="525A53FA" w14:textId="77777777" w:rsidTr="006459E8">
        <w:trPr>
          <w:trHeight w:val="397"/>
          <w:jc w:val="center"/>
        </w:trPr>
        <w:tc>
          <w:tcPr>
            <w:tcW w:w="508" w:type="pct"/>
            <w:noWrap/>
            <w:vAlign w:val="center"/>
          </w:tcPr>
          <w:p w14:paraId="3B874756"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Hazard-rate</w:t>
            </w:r>
          </w:p>
        </w:tc>
        <w:tc>
          <w:tcPr>
            <w:tcW w:w="1306" w:type="pct"/>
            <w:vAlign w:val="center"/>
          </w:tcPr>
          <w:p w14:paraId="4FC894E5"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null</w:t>
            </w:r>
          </w:p>
        </w:tc>
        <w:tc>
          <w:tcPr>
            <w:tcW w:w="972" w:type="pct"/>
            <w:noWrap/>
            <w:vAlign w:val="center"/>
          </w:tcPr>
          <w:p w14:paraId="5D04E92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0.830</w:t>
            </w:r>
          </w:p>
        </w:tc>
        <w:tc>
          <w:tcPr>
            <w:tcW w:w="443" w:type="pct"/>
            <w:noWrap/>
            <w:vAlign w:val="center"/>
          </w:tcPr>
          <w:p w14:paraId="2072A1AB"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0.281</w:t>
            </w:r>
          </w:p>
        </w:tc>
        <w:tc>
          <w:tcPr>
            <w:tcW w:w="442" w:type="pct"/>
            <w:noWrap/>
            <w:vAlign w:val="center"/>
          </w:tcPr>
          <w:p w14:paraId="68B0DEAE"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0.013</w:t>
            </w:r>
          </w:p>
        </w:tc>
        <w:tc>
          <w:tcPr>
            <w:tcW w:w="447" w:type="pct"/>
            <w:vAlign w:val="center"/>
          </w:tcPr>
          <w:p w14:paraId="645BB6F0"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2</w:t>
            </w:r>
          </w:p>
        </w:tc>
        <w:tc>
          <w:tcPr>
            <w:tcW w:w="443" w:type="pct"/>
            <w:vAlign w:val="center"/>
          </w:tcPr>
          <w:p w14:paraId="2D860D7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11450.12</w:t>
            </w:r>
          </w:p>
        </w:tc>
        <w:tc>
          <w:tcPr>
            <w:tcW w:w="439" w:type="pct"/>
            <w:noWrap/>
            <w:vAlign w:val="center"/>
          </w:tcPr>
          <w:p w14:paraId="0ABEBCB6"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87.02</w:t>
            </w:r>
          </w:p>
        </w:tc>
      </w:tr>
      <w:tr w:rsidR="0097669A" w:rsidRPr="00537527" w14:paraId="65ABAE82" w14:textId="77777777" w:rsidTr="006459E8">
        <w:trPr>
          <w:trHeight w:val="397"/>
          <w:jc w:val="center"/>
        </w:trPr>
        <w:tc>
          <w:tcPr>
            <w:tcW w:w="508" w:type="pct"/>
            <w:tcBorders>
              <w:bottom w:val="single" w:sz="12" w:space="0" w:color="000000" w:themeColor="text1"/>
            </w:tcBorders>
            <w:noWrap/>
            <w:vAlign w:val="center"/>
          </w:tcPr>
          <w:p w14:paraId="6E54910F"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Half-normal</w:t>
            </w:r>
          </w:p>
        </w:tc>
        <w:tc>
          <w:tcPr>
            <w:tcW w:w="1306" w:type="pct"/>
            <w:tcBorders>
              <w:bottom w:val="single" w:sz="12" w:space="0" w:color="000000" w:themeColor="text1"/>
            </w:tcBorders>
            <w:vAlign w:val="center"/>
          </w:tcPr>
          <w:p w14:paraId="3D4DD43A"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null</w:t>
            </w:r>
          </w:p>
        </w:tc>
        <w:tc>
          <w:tcPr>
            <w:tcW w:w="3186" w:type="pct"/>
            <w:gridSpan w:val="6"/>
            <w:tcBorders>
              <w:bottom w:val="single" w:sz="12" w:space="0" w:color="000000" w:themeColor="text1"/>
            </w:tcBorders>
            <w:noWrap/>
            <w:vAlign w:val="center"/>
          </w:tcPr>
          <w:p w14:paraId="6DD37E93" w14:textId="77777777" w:rsidR="0097669A" w:rsidRPr="00537527" w:rsidRDefault="0097669A" w:rsidP="006459E8">
            <w:pPr>
              <w:jc w:val="center"/>
              <w:rPr>
                <w:rFonts w:cstheme="minorHAnsi"/>
                <w:sz w:val="20"/>
                <w:szCs w:val="20"/>
                <w:lang w:val="en-GB"/>
              </w:rPr>
            </w:pPr>
            <w:r w:rsidRPr="00537527">
              <w:rPr>
                <w:rFonts w:cstheme="minorHAnsi"/>
                <w:sz w:val="20"/>
                <w:szCs w:val="20"/>
                <w:lang w:val="en-GB"/>
              </w:rPr>
              <w:t>Failed to fit</w:t>
            </w:r>
          </w:p>
        </w:tc>
      </w:tr>
    </w:tbl>
    <w:p w14:paraId="06529AA8" w14:textId="77777777" w:rsidR="0097669A" w:rsidRPr="00537527" w:rsidRDefault="0097669A" w:rsidP="0097669A">
      <w:pPr>
        <w:rPr>
          <w:rFonts w:cstheme="minorHAnsi"/>
          <w:lang w:val="en-GB"/>
        </w:rPr>
        <w:sectPr w:rsidR="0097669A" w:rsidRPr="00537527" w:rsidSect="008A51C8">
          <w:pgSz w:w="16838" w:h="11906" w:orient="landscape"/>
          <w:pgMar w:top="993" w:right="1417" w:bottom="1135" w:left="1417" w:header="708" w:footer="708" w:gutter="0"/>
          <w:cols w:space="708"/>
          <w:docGrid w:linePitch="360"/>
        </w:sectPr>
      </w:pPr>
    </w:p>
    <w:bookmarkEnd w:id="31"/>
    <w:p w14:paraId="2A03C1F3" w14:textId="77777777" w:rsidR="0097669A" w:rsidRPr="00537527" w:rsidRDefault="0097669A" w:rsidP="0097669A">
      <w:pPr>
        <w:spacing w:line="276" w:lineRule="auto"/>
        <w:jc w:val="both"/>
        <w:rPr>
          <w:rFonts w:cstheme="minorHAnsi"/>
          <w:noProof/>
          <w:sz w:val="20"/>
          <w:szCs w:val="20"/>
          <w:lang w:val="en-GB"/>
        </w:rPr>
      </w:pPr>
      <w:r w:rsidRPr="00537527">
        <w:rPr>
          <w:rFonts w:cstheme="minorHAnsi"/>
          <w:b/>
          <w:bCs/>
          <w:noProof/>
          <w:sz w:val="20"/>
          <w:szCs w:val="20"/>
          <w:lang w:val="en-GB"/>
        </w:rPr>
        <w:lastRenderedPageBreak/>
        <w:t>Figure B.1.</w:t>
      </w:r>
      <w:r w:rsidRPr="00537527">
        <w:rPr>
          <w:rFonts w:cstheme="minorHAnsi"/>
          <w:noProof/>
          <w:sz w:val="20"/>
          <w:szCs w:val="20"/>
          <w:lang w:val="en-GB"/>
        </w:rPr>
        <w:t xml:space="preserve"> Great shearwater hazard-rate detection function with no adjustment terms and year and Beaufort Sea‐state as covariates showing histogram of perpendicular distance data for the sightings and the fitted detection probability (black line) predicted by the model. Perpendicular distance was truncated at 600 m (upper plot) and q-q plot of the detection function model selected (bottom plot).</w:t>
      </w:r>
    </w:p>
    <w:p w14:paraId="6D34537A" w14:textId="77777777" w:rsidR="0097669A" w:rsidRPr="00537527" w:rsidRDefault="0097669A" w:rsidP="0097669A">
      <w:pPr>
        <w:jc w:val="center"/>
        <w:rPr>
          <w:rFonts w:cstheme="minorHAnsi"/>
          <w:lang w:val="en-GB"/>
        </w:rPr>
      </w:pPr>
      <w:r w:rsidRPr="00537527">
        <w:rPr>
          <w:rFonts w:cstheme="minorHAnsi"/>
          <w:noProof/>
          <w:lang w:val="en-GB"/>
        </w:rPr>
        <w:drawing>
          <wp:inline distT="0" distB="0" distL="0" distR="0" wp14:anchorId="4547C079" wp14:editId="6CAFB5E0">
            <wp:extent cx="3909060" cy="3909060"/>
            <wp:effectExtent l="0" t="0" r="0" b="0"/>
            <wp:docPr id="7" name="Imagen 7"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Histogram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9060" cy="3909060"/>
                    </a:xfrm>
                    <a:prstGeom prst="rect">
                      <a:avLst/>
                    </a:prstGeom>
                    <a:noFill/>
                    <a:ln>
                      <a:noFill/>
                    </a:ln>
                  </pic:spPr>
                </pic:pic>
              </a:graphicData>
            </a:graphic>
          </wp:inline>
        </w:drawing>
      </w:r>
    </w:p>
    <w:p w14:paraId="0B73651C" w14:textId="77777777" w:rsidR="0097669A" w:rsidRPr="00537527" w:rsidRDefault="0097669A" w:rsidP="0097669A">
      <w:pPr>
        <w:jc w:val="center"/>
        <w:rPr>
          <w:rFonts w:cstheme="minorHAnsi"/>
          <w:lang w:val="en-GB"/>
        </w:rPr>
        <w:sectPr w:rsidR="0097669A" w:rsidRPr="00537527" w:rsidSect="00372CCE">
          <w:pgSz w:w="11906" w:h="16838"/>
          <w:pgMar w:top="1417" w:right="1700" w:bottom="1417" w:left="851" w:header="708" w:footer="708" w:gutter="0"/>
          <w:cols w:space="708"/>
          <w:docGrid w:linePitch="360"/>
        </w:sectPr>
      </w:pPr>
      <w:r w:rsidRPr="00537527">
        <w:rPr>
          <w:rFonts w:cstheme="minorHAnsi"/>
          <w:noProof/>
          <w:lang w:val="en-GB"/>
        </w:rPr>
        <w:drawing>
          <wp:inline distT="0" distB="0" distL="0" distR="0" wp14:anchorId="2BE13D00" wp14:editId="7AEDEEC1">
            <wp:extent cx="3600000" cy="3600000"/>
            <wp:effectExtent l="0" t="0" r="635" b="635"/>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4FAAB53" w14:textId="77777777" w:rsidR="0097669A" w:rsidRPr="00537527" w:rsidRDefault="0097669A" w:rsidP="0097669A">
      <w:pPr>
        <w:spacing w:line="276" w:lineRule="auto"/>
        <w:jc w:val="both"/>
        <w:rPr>
          <w:rFonts w:cstheme="minorHAnsi"/>
          <w:noProof/>
          <w:sz w:val="20"/>
          <w:szCs w:val="20"/>
          <w:lang w:val="en-GB"/>
        </w:rPr>
      </w:pPr>
      <w:r w:rsidRPr="00537527">
        <w:rPr>
          <w:rFonts w:cstheme="minorHAnsi"/>
          <w:b/>
          <w:bCs/>
          <w:noProof/>
          <w:sz w:val="20"/>
          <w:szCs w:val="20"/>
          <w:lang w:val="en-GB"/>
        </w:rPr>
        <w:lastRenderedPageBreak/>
        <w:t>Figure B.2.</w:t>
      </w:r>
      <w:r w:rsidRPr="00537527">
        <w:rPr>
          <w:rFonts w:cstheme="minorHAnsi"/>
          <w:noProof/>
          <w:sz w:val="20"/>
          <w:szCs w:val="20"/>
          <w:lang w:val="en-GB"/>
        </w:rPr>
        <w:t xml:space="preserve"> Pairwise correlation between predictor variables by means of Spearman-rank correlation coefficient. Non-significant (p-value&gt;0.05) Spearman correlation coefficients are indicated with a cross. See Table A.1 for abbreviations.</w:t>
      </w:r>
    </w:p>
    <w:p w14:paraId="7F8B8C47" w14:textId="77777777" w:rsidR="0097669A" w:rsidRPr="00537527" w:rsidRDefault="0097669A" w:rsidP="0097669A">
      <w:pPr>
        <w:spacing w:line="276" w:lineRule="auto"/>
        <w:jc w:val="center"/>
        <w:rPr>
          <w:rFonts w:eastAsia="Calibri" w:cstheme="minorHAnsi"/>
          <w:lang w:val="en-GB"/>
        </w:rPr>
        <w:sectPr w:rsidR="0097669A" w:rsidRPr="00537527" w:rsidSect="00EA4108">
          <w:pgSz w:w="11906" w:h="16838"/>
          <w:pgMar w:top="1417" w:right="1701" w:bottom="1417" w:left="851" w:header="708" w:footer="708" w:gutter="0"/>
          <w:cols w:space="708"/>
          <w:docGrid w:linePitch="360"/>
        </w:sectPr>
      </w:pPr>
      <w:r w:rsidRPr="00537527">
        <w:rPr>
          <w:rFonts w:cstheme="minorHAnsi"/>
          <w:noProof/>
          <w:lang w:val="en-GB"/>
        </w:rPr>
        <w:drawing>
          <wp:inline distT="0" distB="0" distL="0" distR="0" wp14:anchorId="14ED6671" wp14:editId="7A2A3F95">
            <wp:extent cx="3927475" cy="3356870"/>
            <wp:effectExtent l="0" t="0" r="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t="7264" b="7264"/>
                    <a:stretch>
                      <a:fillRect/>
                    </a:stretch>
                  </pic:blipFill>
                  <pic:spPr bwMode="auto">
                    <a:xfrm>
                      <a:off x="0" y="0"/>
                      <a:ext cx="3934157" cy="3362581"/>
                    </a:xfrm>
                    <a:prstGeom prst="rect">
                      <a:avLst/>
                    </a:prstGeom>
                    <a:noFill/>
                    <a:ln>
                      <a:noFill/>
                    </a:ln>
                    <a:extLst>
                      <a:ext uri="{53640926-AAD7-44D8-BBD7-CCE9431645EC}">
                        <a14:shadowObscured xmlns:a14="http://schemas.microsoft.com/office/drawing/2010/main"/>
                      </a:ext>
                    </a:extLst>
                  </pic:spPr>
                </pic:pic>
              </a:graphicData>
            </a:graphic>
          </wp:inline>
        </w:drawing>
      </w:r>
    </w:p>
    <w:p w14:paraId="27918D09" w14:textId="77777777" w:rsidR="0097669A" w:rsidRPr="00537527" w:rsidRDefault="0097669A" w:rsidP="0097669A">
      <w:pPr>
        <w:pStyle w:val="Ttulo1"/>
        <w:jc w:val="center"/>
        <w:rPr>
          <w:rFonts w:asciiTheme="minorHAnsi" w:eastAsia="Times New Roman" w:hAnsiTheme="minorHAnsi" w:cstheme="minorHAnsi"/>
          <w:b w:val="0"/>
          <w:bCs w:val="0"/>
          <w:lang w:val="en-GB"/>
        </w:rPr>
      </w:pPr>
      <w:r w:rsidRPr="00537527">
        <w:rPr>
          <w:rFonts w:asciiTheme="minorHAnsi" w:eastAsia="Times New Roman" w:hAnsiTheme="minorHAnsi" w:cstheme="minorHAnsi"/>
          <w:lang w:val="en-GB"/>
        </w:rPr>
        <w:lastRenderedPageBreak/>
        <w:t>C. Artisanal tuna fishing activity</w:t>
      </w:r>
    </w:p>
    <w:p w14:paraId="40B127EF" w14:textId="77777777" w:rsidR="0097669A" w:rsidRPr="00537527" w:rsidRDefault="0097669A" w:rsidP="00537527">
      <w:pPr>
        <w:jc w:val="both"/>
        <w:rPr>
          <w:rFonts w:cstheme="minorHAnsi"/>
          <w:noProof/>
          <w:sz w:val="20"/>
          <w:szCs w:val="20"/>
          <w:lang w:val="en-GB"/>
        </w:rPr>
      </w:pPr>
      <w:r w:rsidRPr="00537527">
        <w:rPr>
          <w:rFonts w:cstheme="minorHAnsi"/>
          <w:b/>
          <w:bCs/>
          <w:noProof/>
          <w:sz w:val="20"/>
          <w:szCs w:val="20"/>
          <w:lang w:val="en-GB"/>
        </w:rPr>
        <w:t>Figure C.1.</w:t>
      </w:r>
      <w:r w:rsidRPr="00537527">
        <w:rPr>
          <w:rFonts w:cstheme="minorHAnsi"/>
          <w:noProof/>
          <w:sz w:val="20"/>
          <w:szCs w:val="20"/>
          <w:lang w:val="en-GB"/>
        </w:rPr>
        <w:t xml:space="preserve"> Artisanal tuna fishing effort performed during the fishing season by year and month by baitboats (LHP; purple) and trollers (LTL; yellow). Blue shaded area shows the months select to perform the spatial bycatch risk assessment. The total fishing effort performed by baitboats (LHP; purple) and trollers (LTL; yellow) during the months select is showed.</w:t>
      </w:r>
    </w:p>
    <w:p w14:paraId="6755E0C0" w14:textId="77777777" w:rsidR="0097669A" w:rsidRPr="00537527" w:rsidRDefault="0097669A" w:rsidP="0097669A">
      <w:pPr>
        <w:rPr>
          <w:rFonts w:eastAsiaTheme="majorEastAsia" w:cstheme="minorHAnsi"/>
          <w:b/>
          <w:bCs/>
          <w:color w:val="365F91" w:themeColor="accent1" w:themeShade="BF"/>
          <w:sz w:val="24"/>
          <w:szCs w:val="24"/>
          <w:lang w:val="en-GB"/>
        </w:rPr>
        <w:sectPr w:rsidR="0097669A" w:rsidRPr="00537527" w:rsidSect="00EE025C">
          <w:pgSz w:w="16838" w:h="11906" w:orient="landscape"/>
          <w:pgMar w:top="1080" w:right="1440" w:bottom="1080" w:left="1440" w:header="708" w:footer="708" w:gutter="0"/>
          <w:cols w:space="720"/>
          <w:docGrid w:linePitch="299"/>
        </w:sectPr>
      </w:pPr>
      <w:r w:rsidRPr="00537527">
        <w:rPr>
          <w:rFonts w:cstheme="minorHAnsi"/>
          <w:noProof/>
        </w:rPr>
        <w:drawing>
          <wp:inline distT="0" distB="0" distL="0" distR="0" wp14:anchorId="26620B34" wp14:editId="1A547E45">
            <wp:extent cx="8863330" cy="4431665"/>
            <wp:effectExtent l="0" t="0" r="0" b="6985"/>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863330" cy="4431665"/>
                    </a:xfrm>
                    <a:prstGeom prst="rect">
                      <a:avLst/>
                    </a:prstGeom>
                    <a:noFill/>
                    <a:ln>
                      <a:noFill/>
                    </a:ln>
                  </pic:spPr>
                </pic:pic>
              </a:graphicData>
            </a:graphic>
          </wp:inline>
        </w:drawing>
      </w:r>
    </w:p>
    <w:p w14:paraId="649C194A" w14:textId="5453C8B4" w:rsidR="0097669A" w:rsidRPr="00537527" w:rsidRDefault="0097669A" w:rsidP="0097669A">
      <w:pPr>
        <w:suppressLineNumbers/>
        <w:rPr>
          <w:rFonts w:eastAsia="Times New Roman" w:cstheme="minorHAnsi"/>
          <w:b/>
          <w:bCs/>
          <w:sz w:val="24"/>
          <w:szCs w:val="24"/>
          <w:lang w:val="en-GB"/>
        </w:rPr>
      </w:pPr>
      <w:r w:rsidRPr="00537527">
        <w:rPr>
          <w:rFonts w:eastAsia="Times New Roman" w:cstheme="minorHAnsi"/>
          <w:b/>
          <w:bCs/>
          <w:sz w:val="24"/>
          <w:szCs w:val="24"/>
          <w:lang w:val="en-GB"/>
        </w:rPr>
        <w:lastRenderedPageBreak/>
        <w:t>References</w:t>
      </w:r>
      <w:r w:rsidR="000112E2">
        <w:rPr>
          <w:rFonts w:eastAsia="Times New Roman" w:cstheme="minorHAnsi"/>
          <w:b/>
          <w:bCs/>
          <w:sz w:val="24"/>
          <w:szCs w:val="24"/>
          <w:lang w:val="en-GB"/>
        </w:rPr>
        <w:t xml:space="preserve"> in supplementary material</w:t>
      </w:r>
      <w:r w:rsidRPr="00537527">
        <w:rPr>
          <w:rFonts w:eastAsia="Times New Roman" w:cstheme="minorHAnsi"/>
          <w:b/>
          <w:bCs/>
          <w:sz w:val="24"/>
          <w:szCs w:val="24"/>
          <w:lang w:val="en-GB"/>
        </w:rPr>
        <w:t>:</w:t>
      </w:r>
    </w:p>
    <w:p w14:paraId="650395EE"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8"/>
        </w:rPr>
      </w:pPr>
      <w:r w:rsidRPr="00537527">
        <w:rPr>
          <w:rFonts w:eastAsiaTheme="minorEastAsia" w:cstheme="minorHAnsi"/>
          <w:sz w:val="20"/>
          <w:szCs w:val="20"/>
          <w:lang w:val="en-GB"/>
        </w:rPr>
        <w:fldChar w:fldCharType="begin" w:fldLock="1"/>
      </w:r>
      <w:r w:rsidRPr="00537527">
        <w:rPr>
          <w:rFonts w:eastAsiaTheme="minorEastAsia" w:cstheme="minorHAnsi"/>
          <w:sz w:val="20"/>
          <w:szCs w:val="20"/>
          <w:lang w:val="en-US"/>
        </w:rPr>
        <w:instrText xml:space="preserve">ADDIN Mendeley Bibliography CSL_BIBLIOGRAPHY </w:instrText>
      </w:r>
      <w:r w:rsidRPr="00537527">
        <w:rPr>
          <w:rFonts w:eastAsiaTheme="minorEastAsia" w:cstheme="minorHAnsi"/>
          <w:sz w:val="20"/>
          <w:szCs w:val="20"/>
          <w:lang w:val="en-GB"/>
        </w:rPr>
        <w:fldChar w:fldCharType="separate"/>
      </w:r>
      <w:r w:rsidRPr="00537527">
        <w:rPr>
          <w:rFonts w:cstheme="minorHAnsi"/>
          <w:noProof/>
          <w:sz w:val="20"/>
          <w:szCs w:val="28"/>
          <w:lang w:val="en-US"/>
        </w:rPr>
        <w:t xml:space="preserve">Amante, C., Eakins, B.W., 2009. ETOPO1 1 arc-minute global relief model: procedures, data sources, and analysis. </w:t>
      </w:r>
      <w:r w:rsidRPr="00537527">
        <w:rPr>
          <w:rFonts w:cstheme="minorHAnsi"/>
          <w:noProof/>
          <w:sz w:val="20"/>
          <w:szCs w:val="28"/>
        </w:rPr>
        <w:t>Tech Rep NESDIS NGDC-24. https://doi.org/10.7289/V5C8276M</w:t>
      </w:r>
    </w:p>
    <w:p w14:paraId="559BA719"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8"/>
          <w:lang w:val="en-US"/>
        </w:rPr>
      </w:pPr>
      <w:r w:rsidRPr="00537527">
        <w:rPr>
          <w:rFonts w:cstheme="minorHAnsi"/>
          <w:noProof/>
          <w:sz w:val="20"/>
          <w:szCs w:val="28"/>
        </w:rPr>
        <w:t xml:space="preserve">Boyra, G., Martínez, U., Cotano, U., Santos, M., Irigoien, X., Uriarte, A., 2013. </w:t>
      </w:r>
      <w:r w:rsidRPr="00537527">
        <w:rPr>
          <w:rFonts w:cstheme="minorHAnsi"/>
          <w:noProof/>
          <w:sz w:val="20"/>
          <w:szCs w:val="28"/>
          <w:lang w:val="en-US"/>
        </w:rPr>
        <w:t>Acoustic surveys for juvenile anchovy in the Bay of Biscay: Abundance estimate as an indicator of the next year’s recruitment and spatial distribution patterns. ICES J. Mar. Sci. 70, 1354–1368. https://doi.org/10.1093/icesjms/fst096</w:t>
      </w:r>
    </w:p>
    <w:p w14:paraId="4F66498A"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8"/>
          <w:lang w:val="en-US"/>
        </w:rPr>
      </w:pPr>
      <w:r w:rsidRPr="00537527">
        <w:rPr>
          <w:rFonts w:cstheme="minorHAnsi"/>
          <w:noProof/>
          <w:sz w:val="20"/>
          <w:szCs w:val="28"/>
          <w:lang w:val="en-US"/>
        </w:rPr>
        <w:t>Caballero, A., Rubio, A., Ruiz, S., Le Cann, B., Testor, P., Mader, J., Hernández, C., 2016. South-Eastern Bay of Biscay eddy-induced anomalies and their effect on chlorophyll distribution. J. Mar. Syst. 162, 57–72. https://doi.org/10.1016/j.jmarsys.2016.04.001</w:t>
      </w:r>
    </w:p>
    <w:p w14:paraId="22201CB5"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8"/>
          <w:lang w:val="en-US"/>
        </w:rPr>
      </w:pPr>
      <w:r w:rsidRPr="00537527">
        <w:rPr>
          <w:rFonts w:cstheme="minorHAnsi"/>
          <w:noProof/>
          <w:sz w:val="20"/>
          <w:szCs w:val="28"/>
          <w:lang w:val="en-US"/>
        </w:rPr>
        <w:t>Gomis, D., Ruiz, S., Pedder, M.A., 2001. Diagnostic analysis of the 3D ageostrophic circulation from a multivariate spatial interpolation of CTD and ADCP data. Deep. Res. Part I Oceanogr. Res. Pap. 48, 269–295. https://doi.org/10.1016/S0967-0637(00)00060-1</w:t>
      </w:r>
    </w:p>
    <w:p w14:paraId="44FA22F8"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8"/>
          <w:lang w:val="en-US"/>
        </w:rPr>
      </w:pPr>
      <w:r w:rsidRPr="00537527">
        <w:rPr>
          <w:rFonts w:cstheme="minorHAnsi"/>
          <w:noProof/>
          <w:sz w:val="20"/>
          <w:szCs w:val="28"/>
          <w:lang w:val="en-US"/>
        </w:rPr>
        <w:t>Hijmans, R.J., van Etten, J., 2014. raster: geographic data analysis and modeling. R package version 2: 15.</w:t>
      </w:r>
    </w:p>
    <w:p w14:paraId="4B1C6E6B" w14:textId="77777777" w:rsidR="0097669A" w:rsidRPr="00537527" w:rsidRDefault="0097669A" w:rsidP="0097669A">
      <w:pPr>
        <w:widowControl w:val="0"/>
        <w:suppressLineNumbers/>
        <w:autoSpaceDE w:val="0"/>
        <w:autoSpaceDN w:val="0"/>
        <w:adjustRightInd w:val="0"/>
        <w:spacing w:line="240" w:lineRule="auto"/>
        <w:ind w:left="480" w:hanging="480"/>
        <w:jc w:val="both"/>
        <w:rPr>
          <w:rFonts w:cstheme="minorHAnsi"/>
          <w:noProof/>
          <w:sz w:val="20"/>
          <w:szCs w:val="24"/>
        </w:rPr>
      </w:pPr>
      <w:r w:rsidRPr="00537527">
        <w:rPr>
          <w:rFonts w:cstheme="minorHAnsi"/>
          <w:noProof/>
          <w:sz w:val="20"/>
          <w:szCs w:val="28"/>
          <w:lang w:val="en-US"/>
        </w:rPr>
        <w:t xml:space="preserve">Rubio, A., Gomis, D., Jordà, G., Espino, M., 2009. Estimating geostrophic and total velocities from CTD and ADCP data: Intercomparison of different methods. </w:t>
      </w:r>
      <w:r w:rsidRPr="00537527">
        <w:rPr>
          <w:rFonts w:cstheme="minorHAnsi"/>
          <w:noProof/>
          <w:sz w:val="20"/>
          <w:szCs w:val="28"/>
        </w:rPr>
        <w:t>J. Mar. Syst. 77, 61–76. https://doi.org/10.1016/j.jmarsys.2008.11.009</w:t>
      </w:r>
    </w:p>
    <w:p w14:paraId="1CC4CF0C" w14:textId="77777777" w:rsidR="0097669A" w:rsidRPr="00537527" w:rsidRDefault="0097669A" w:rsidP="0097669A">
      <w:pPr>
        <w:suppressLineNumbers/>
        <w:spacing w:line="276" w:lineRule="auto"/>
        <w:jc w:val="center"/>
        <w:rPr>
          <w:rFonts w:cstheme="minorHAnsi"/>
          <w:lang w:val="en-GB"/>
        </w:rPr>
      </w:pPr>
      <w:r w:rsidRPr="00537527">
        <w:rPr>
          <w:rFonts w:eastAsiaTheme="minorEastAsia" w:cstheme="minorHAnsi"/>
          <w:sz w:val="20"/>
          <w:szCs w:val="20"/>
          <w:lang w:val="en-GB"/>
        </w:rPr>
        <w:fldChar w:fldCharType="end"/>
      </w:r>
    </w:p>
    <w:p w14:paraId="6AA543FF" w14:textId="77777777" w:rsidR="0097669A" w:rsidRPr="00537527" w:rsidRDefault="0097669A" w:rsidP="0097669A">
      <w:pPr>
        <w:suppressLineNumbers/>
        <w:rPr>
          <w:rFonts w:cstheme="minorHAnsi"/>
          <w:lang w:val="en-GB"/>
        </w:rPr>
      </w:pPr>
    </w:p>
    <w:sectPr w:rsidR="0097669A" w:rsidRPr="00537527" w:rsidSect="00065CFD">
      <w:pgSz w:w="11906" w:h="16838"/>
      <w:pgMar w:top="1440" w:right="1080" w:bottom="1440" w:left="1080" w:header="708" w:footer="708"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C4BE" w14:textId="77777777" w:rsidR="00DB78F3" w:rsidRDefault="00DB78F3" w:rsidP="00E43342">
      <w:pPr>
        <w:spacing w:after="0" w:line="240" w:lineRule="auto"/>
      </w:pPr>
      <w:r>
        <w:separator/>
      </w:r>
    </w:p>
  </w:endnote>
  <w:endnote w:type="continuationSeparator" w:id="0">
    <w:p w14:paraId="4FF706E2" w14:textId="77777777" w:rsidR="00DB78F3" w:rsidRDefault="00DB78F3" w:rsidP="00E4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A76B" w14:textId="77777777" w:rsidR="00FB2054" w:rsidRDefault="00FB20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341464"/>
      <w:docPartObj>
        <w:docPartGallery w:val="Page Numbers (Bottom of Page)"/>
        <w:docPartUnique/>
      </w:docPartObj>
    </w:sdtPr>
    <w:sdtEndPr>
      <w:rPr>
        <w:color w:val="7F7F7F" w:themeColor="text1" w:themeTint="80"/>
      </w:rPr>
    </w:sdtEndPr>
    <w:sdtContent>
      <w:p w14:paraId="63A55A89" w14:textId="23E283E1" w:rsidR="0031543E" w:rsidRDefault="0031543E">
        <w:pPr>
          <w:pStyle w:val="Piedepgina"/>
          <w:jc w:val="right"/>
        </w:pPr>
        <w:r w:rsidRPr="0031543E">
          <w:rPr>
            <w:rFonts w:ascii="Tw Cen MT" w:hAnsi="Tw Cen MT"/>
            <w:sz w:val="20"/>
            <w:szCs w:val="20"/>
          </w:rPr>
          <w:fldChar w:fldCharType="begin"/>
        </w:r>
        <w:r w:rsidRPr="0031543E">
          <w:rPr>
            <w:rFonts w:ascii="Tw Cen MT" w:hAnsi="Tw Cen MT"/>
            <w:sz w:val="20"/>
            <w:szCs w:val="20"/>
          </w:rPr>
          <w:instrText>PAGE   \* MERGEFORMAT</w:instrText>
        </w:r>
        <w:r w:rsidRPr="0031543E">
          <w:rPr>
            <w:rFonts w:ascii="Tw Cen MT" w:hAnsi="Tw Cen MT"/>
            <w:sz w:val="20"/>
            <w:szCs w:val="20"/>
          </w:rPr>
          <w:fldChar w:fldCharType="separate"/>
        </w:r>
        <w:r w:rsidRPr="0031543E">
          <w:rPr>
            <w:rFonts w:ascii="Tw Cen MT" w:hAnsi="Tw Cen MT"/>
            <w:sz w:val="20"/>
            <w:szCs w:val="20"/>
          </w:rPr>
          <w:t>2</w:t>
        </w:r>
        <w:r w:rsidRPr="0031543E">
          <w:rPr>
            <w:rFonts w:ascii="Tw Cen MT" w:hAnsi="Tw Cen MT"/>
            <w:sz w:val="20"/>
            <w:szCs w:val="20"/>
          </w:rPr>
          <w:fldChar w:fldCharType="end"/>
        </w:r>
      </w:p>
    </w:sdtContent>
  </w:sdt>
  <w:p w14:paraId="07EB1631" w14:textId="77777777" w:rsidR="00711CEB" w:rsidRDefault="00711C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200F" w14:textId="77777777" w:rsidR="00FB2054" w:rsidRDefault="00FB20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6CE58" w14:textId="77777777" w:rsidR="00DB78F3" w:rsidRDefault="00DB78F3" w:rsidP="00E43342">
      <w:pPr>
        <w:spacing w:after="0" w:line="240" w:lineRule="auto"/>
      </w:pPr>
      <w:r>
        <w:separator/>
      </w:r>
    </w:p>
  </w:footnote>
  <w:footnote w:type="continuationSeparator" w:id="0">
    <w:p w14:paraId="6BCDB9CC" w14:textId="77777777" w:rsidR="00DB78F3" w:rsidRDefault="00DB78F3" w:rsidP="00E43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EE6E" w14:textId="77777777" w:rsidR="00FB2054" w:rsidRDefault="00FB20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40C1" w14:textId="77777777" w:rsidR="00FB2054" w:rsidRDefault="00FB205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8BC3" w14:textId="77777777" w:rsidR="00FB2054" w:rsidRDefault="00FB20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D0C25"/>
    <w:multiLevelType w:val="hybridMultilevel"/>
    <w:tmpl w:val="C0CCF55E"/>
    <w:lvl w:ilvl="0" w:tplc="3DFE8A0E">
      <w:numFmt w:val="bullet"/>
      <w:lvlText w:val=""/>
      <w:lvlJc w:val="left"/>
      <w:pPr>
        <w:ind w:left="360" w:hanging="360"/>
      </w:pPr>
      <w:rPr>
        <w:rFonts w:ascii="Wingdings" w:eastAsiaTheme="minorHAnsi" w:hAnsi="Wingdings"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4622BB1"/>
    <w:multiLevelType w:val="hybridMultilevel"/>
    <w:tmpl w:val="15B65E60"/>
    <w:lvl w:ilvl="0" w:tplc="18000110">
      <w:start w:val="1"/>
      <w:numFmt w:val="bullet"/>
      <w:lvlText w:val=""/>
      <w:lvlJc w:val="left"/>
      <w:pPr>
        <w:ind w:left="1080" w:hanging="360"/>
      </w:pPr>
      <w:rPr>
        <w:rFonts w:ascii="Wingdings" w:eastAsia="Times New Roman" w:hAnsi="Wingdings" w:cstheme="minorHAns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B4963CC"/>
    <w:multiLevelType w:val="hybridMultilevel"/>
    <w:tmpl w:val="86C23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685881"/>
    <w:multiLevelType w:val="multilevel"/>
    <w:tmpl w:val="EE886216"/>
    <w:lvl w:ilvl="0">
      <w:start w:val="2"/>
      <w:numFmt w:val="decimal"/>
      <w:lvlText w:val="%1."/>
      <w:lvlJc w:val="left"/>
      <w:pPr>
        <w:ind w:left="528" w:hanging="528"/>
      </w:pPr>
      <w:rPr>
        <w:rFonts w:hint="default"/>
      </w:rPr>
    </w:lvl>
    <w:lvl w:ilvl="1">
      <w:start w:val="1"/>
      <w:numFmt w:val="decimal"/>
      <w:lvlText w:val="%1.%2."/>
      <w:lvlJc w:val="left"/>
      <w:pPr>
        <w:ind w:left="708" w:hanging="52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0AF198B"/>
    <w:multiLevelType w:val="multilevel"/>
    <w:tmpl w:val="7E2E43E6"/>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 w15:restartNumberingAfterBreak="0">
    <w:nsid w:val="2B5754E8"/>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CAE57A2"/>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78798E"/>
    <w:multiLevelType w:val="multilevel"/>
    <w:tmpl w:val="EE886216"/>
    <w:lvl w:ilvl="0">
      <w:start w:val="2"/>
      <w:numFmt w:val="decimal"/>
      <w:lvlText w:val="%1."/>
      <w:lvlJc w:val="left"/>
      <w:pPr>
        <w:ind w:left="528" w:hanging="528"/>
      </w:pPr>
      <w:rPr>
        <w:rFonts w:hint="default"/>
      </w:rPr>
    </w:lvl>
    <w:lvl w:ilvl="1">
      <w:start w:val="1"/>
      <w:numFmt w:val="decimal"/>
      <w:lvlText w:val="%1.%2."/>
      <w:lvlJc w:val="left"/>
      <w:pPr>
        <w:ind w:left="708" w:hanging="52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36B3388E"/>
    <w:multiLevelType w:val="hybridMultilevel"/>
    <w:tmpl w:val="D70C5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A71ABC"/>
    <w:multiLevelType w:val="multilevel"/>
    <w:tmpl w:val="7E2E43E6"/>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15:restartNumberingAfterBreak="0">
    <w:nsid w:val="511B3B81"/>
    <w:multiLevelType w:val="hybridMultilevel"/>
    <w:tmpl w:val="76587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6D42B2"/>
    <w:multiLevelType w:val="multilevel"/>
    <w:tmpl w:val="EE886216"/>
    <w:lvl w:ilvl="0">
      <w:start w:val="2"/>
      <w:numFmt w:val="decimal"/>
      <w:lvlText w:val="%1."/>
      <w:lvlJc w:val="left"/>
      <w:pPr>
        <w:ind w:left="528" w:hanging="528"/>
      </w:pPr>
      <w:rPr>
        <w:rFonts w:hint="default"/>
      </w:rPr>
    </w:lvl>
    <w:lvl w:ilvl="1">
      <w:start w:val="1"/>
      <w:numFmt w:val="decimal"/>
      <w:lvlText w:val="%1.%2."/>
      <w:lvlJc w:val="left"/>
      <w:pPr>
        <w:ind w:left="708" w:hanging="52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732E0614"/>
    <w:multiLevelType w:val="hybridMultilevel"/>
    <w:tmpl w:val="44805D6C"/>
    <w:lvl w:ilvl="0" w:tplc="312AA7A0">
      <w:start w:val="1"/>
      <w:numFmt w:val="bullet"/>
      <w:lvlText w:val=""/>
      <w:lvlJc w:val="left"/>
      <w:pPr>
        <w:ind w:left="720" w:hanging="360"/>
      </w:pPr>
      <w:rPr>
        <w:rFonts w:ascii="Wingdings" w:eastAsia="Times New Roman"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406545E"/>
    <w:multiLevelType w:val="multilevel"/>
    <w:tmpl w:val="EE886216"/>
    <w:lvl w:ilvl="0">
      <w:start w:val="2"/>
      <w:numFmt w:val="decimal"/>
      <w:lvlText w:val="%1."/>
      <w:lvlJc w:val="left"/>
      <w:pPr>
        <w:ind w:left="528" w:hanging="528"/>
      </w:pPr>
      <w:rPr>
        <w:rFonts w:hint="default"/>
      </w:rPr>
    </w:lvl>
    <w:lvl w:ilvl="1">
      <w:start w:val="1"/>
      <w:numFmt w:val="decimal"/>
      <w:lvlText w:val="%1.%2."/>
      <w:lvlJc w:val="left"/>
      <w:pPr>
        <w:ind w:left="708" w:hanging="52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7639470D"/>
    <w:multiLevelType w:val="hybridMultilevel"/>
    <w:tmpl w:val="C958A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D67B2E"/>
    <w:multiLevelType w:val="multilevel"/>
    <w:tmpl w:val="EE886216"/>
    <w:lvl w:ilvl="0">
      <w:start w:val="2"/>
      <w:numFmt w:val="decimal"/>
      <w:lvlText w:val="%1."/>
      <w:lvlJc w:val="left"/>
      <w:pPr>
        <w:ind w:left="528" w:hanging="528"/>
      </w:pPr>
      <w:rPr>
        <w:rFonts w:hint="default"/>
      </w:rPr>
    </w:lvl>
    <w:lvl w:ilvl="1">
      <w:start w:val="1"/>
      <w:numFmt w:val="decimal"/>
      <w:lvlText w:val="%1.%2."/>
      <w:lvlJc w:val="left"/>
      <w:pPr>
        <w:ind w:left="708" w:hanging="52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7CEE7C2B"/>
    <w:multiLevelType w:val="hybridMultilevel"/>
    <w:tmpl w:val="AD121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00266458">
    <w:abstractNumId w:val="4"/>
  </w:num>
  <w:num w:numId="2" w16cid:durableId="1793019050">
    <w:abstractNumId w:val="6"/>
  </w:num>
  <w:num w:numId="3" w16cid:durableId="1910576647">
    <w:abstractNumId w:val="11"/>
  </w:num>
  <w:num w:numId="4" w16cid:durableId="901015995">
    <w:abstractNumId w:val="2"/>
  </w:num>
  <w:num w:numId="5" w16cid:durableId="1113751009">
    <w:abstractNumId w:val="9"/>
  </w:num>
  <w:num w:numId="6" w16cid:durableId="216477638">
    <w:abstractNumId w:val="7"/>
  </w:num>
  <w:num w:numId="7" w16cid:durableId="1058433295">
    <w:abstractNumId w:val="10"/>
  </w:num>
  <w:num w:numId="8" w16cid:durableId="1884903805">
    <w:abstractNumId w:val="8"/>
  </w:num>
  <w:num w:numId="9" w16cid:durableId="154955094">
    <w:abstractNumId w:val="16"/>
  </w:num>
  <w:num w:numId="10" w16cid:durableId="1449659634">
    <w:abstractNumId w:val="0"/>
  </w:num>
  <w:num w:numId="11" w16cid:durableId="1402603259">
    <w:abstractNumId w:val="13"/>
  </w:num>
  <w:num w:numId="12" w16cid:durableId="23193400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4146398">
    <w:abstractNumId w:val="15"/>
  </w:num>
  <w:num w:numId="14" w16cid:durableId="165100659">
    <w:abstractNumId w:val="3"/>
  </w:num>
  <w:num w:numId="15" w16cid:durableId="368922838">
    <w:abstractNumId w:val="14"/>
  </w:num>
  <w:num w:numId="16" w16cid:durableId="1722746420">
    <w:abstractNumId w:val="12"/>
  </w:num>
  <w:num w:numId="17" w16cid:durableId="740372903">
    <w:abstractNumId w:val="1"/>
  </w:num>
  <w:num w:numId="18" w16cid:durableId="13082929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BF"/>
    <w:rsid w:val="0000003A"/>
    <w:rsid w:val="00000244"/>
    <w:rsid w:val="00000A18"/>
    <w:rsid w:val="00000B92"/>
    <w:rsid w:val="00000E38"/>
    <w:rsid w:val="00001086"/>
    <w:rsid w:val="0000134B"/>
    <w:rsid w:val="000014FA"/>
    <w:rsid w:val="000017EC"/>
    <w:rsid w:val="000019A1"/>
    <w:rsid w:val="00001A60"/>
    <w:rsid w:val="00001E0A"/>
    <w:rsid w:val="00001E5E"/>
    <w:rsid w:val="00002039"/>
    <w:rsid w:val="00002212"/>
    <w:rsid w:val="0000248C"/>
    <w:rsid w:val="00002516"/>
    <w:rsid w:val="000028EE"/>
    <w:rsid w:val="000032C0"/>
    <w:rsid w:val="00003BF6"/>
    <w:rsid w:val="000040E7"/>
    <w:rsid w:val="00004213"/>
    <w:rsid w:val="0000469E"/>
    <w:rsid w:val="000046E2"/>
    <w:rsid w:val="00004F21"/>
    <w:rsid w:val="0000518E"/>
    <w:rsid w:val="00005A49"/>
    <w:rsid w:val="00005BA6"/>
    <w:rsid w:val="00006204"/>
    <w:rsid w:val="00006227"/>
    <w:rsid w:val="00006330"/>
    <w:rsid w:val="00006A7C"/>
    <w:rsid w:val="00006D73"/>
    <w:rsid w:val="00006F31"/>
    <w:rsid w:val="000073C2"/>
    <w:rsid w:val="000075E5"/>
    <w:rsid w:val="00007879"/>
    <w:rsid w:val="0001031D"/>
    <w:rsid w:val="0001076B"/>
    <w:rsid w:val="00010831"/>
    <w:rsid w:val="00010A4A"/>
    <w:rsid w:val="00010B30"/>
    <w:rsid w:val="00010D2E"/>
    <w:rsid w:val="000110BD"/>
    <w:rsid w:val="0001126A"/>
    <w:rsid w:val="000112E2"/>
    <w:rsid w:val="00011933"/>
    <w:rsid w:val="000120C7"/>
    <w:rsid w:val="00012310"/>
    <w:rsid w:val="000124A3"/>
    <w:rsid w:val="000126C0"/>
    <w:rsid w:val="00012BAC"/>
    <w:rsid w:val="00013123"/>
    <w:rsid w:val="000132E1"/>
    <w:rsid w:val="00013392"/>
    <w:rsid w:val="00013628"/>
    <w:rsid w:val="000139C5"/>
    <w:rsid w:val="00013F35"/>
    <w:rsid w:val="000141D5"/>
    <w:rsid w:val="0001454C"/>
    <w:rsid w:val="00014F36"/>
    <w:rsid w:val="000150A6"/>
    <w:rsid w:val="000150FC"/>
    <w:rsid w:val="000155E6"/>
    <w:rsid w:val="00015A58"/>
    <w:rsid w:val="00015AC0"/>
    <w:rsid w:val="00015BBC"/>
    <w:rsid w:val="000160A6"/>
    <w:rsid w:val="000160E9"/>
    <w:rsid w:val="000169F1"/>
    <w:rsid w:val="00016AB8"/>
    <w:rsid w:val="00017203"/>
    <w:rsid w:val="000172DD"/>
    <w:rsid w:val="00017724"/>
    <w:rsid w:val="00017DAB"/>
    <w:rsid w:val="00017E12"/>
    <w:rsid w:val="00017F38"/>
    <w:rsid w:val="0002001F"/>
    <w:rsid w:val="000200B7"/>
    <w:rsid w:val="0002015F"/>
    <w:rsid w:val="0002027B"/>
    <w:rsid w:val="000203CC"/>
    <w:rsid w:val="000203F3"/>
    <w:rsid w:val="00020678"/>
    <w:rsid w:val="00020AFD"/>
    <w:rsid w:val="00020B8C"/>
    <w:rsid w:val="00020E1F"/>
    <w:rsid w:val="00021232"/>
    <w:rsid w:val="00021A91"/>
    <w:rsid w:val="00021D38"/>
    <w:rsid w:val="000224CE"/>
    <w:rsid w:val="000229DB"/>
    <w:rsid w:val="00022D49"/>
    <w:rsid w:val="0002374C"/>
    <w:rsid w:val="00023A95"/>
    <w:rsid w:val="00023C88"/>
    <w:rsid w:val="00023D8B"/>
    <w:rsid w:val="000241DF"/>
    <w:rsid w:val="00024501"/>
    <w:rsid w:val="0002498C"/>
    <w:rsid w:val="00024A38"/>
    <w:rsid w:val="0002552F"/>
    <w:rsid w:val="00025655"/>
    <w:rsid w:val="00025E15"/>
    <w:rsid w:val="00025E60"/>
    <w:rsid w:val="00025F1F"/>
    <w:rsid w:val="00025F2D"/>
    <w:rsid w:val="0002622E"/>
    <w:rsid w:val="00026AFA"/>
    <w:rsid w:val="00026D5B"/>
    <w:rsid w:val="000272CE"/>
    <w:rsid w:val="0002740F"/>
    <w:rsid w:val="00027A24"/>
    <w:rsid w:val="00027B55"/>
    <w:rsid w:val="00027E39"/>
    <w:rsid w:val="000300FF"/>
    <w:rsid w:val="0003017B"/>
    <w:rsid w:val="000302BE"/>
    <w:rsid w:val="000305A5"/>
    <w:rsid w:val="00030971"/>
    <w:rsid w:val="00030CDE"/>
    <w:rsid w:val="00030D6D"/>
    <w:rsid w:val="000317E1"/>
    <w:rsid w:val="00031D30"/>
    <w:rsid w:val="00031F12"/>
    <w:rsid w:val="00032A22"/>
    <w:rsid w:val="00032EE4"/>
    <w:rsid w:val="00033179"/>
    <w:rsid w:val="000336B0"/>
    <w:rsid w:val="0003442A"/>
    <w:rsid w:val="000347EA"/>
    <w:rsid w:val="000349D2"/>
    <w:rsid w:val="00035037"/>
    <w:rsid w:val="00035605"/>
    <w:rsid w:val="0003575F"/>
    <w:rsid w:val="00036116"/>
    <w:rsid w:val="000361FF"/>
    <w:rsid w:val="000367E1"/>
    <w:rsid w:val="00036C01"/>
    <w:rsid w:val="00036F8A"/>
    <w:rsid w:val="00037B34"/>
    <w:rsid w:val="00037C97"/>
    <w:rsid w:val="000408E4"/>
    <w:rsid w:val="00040A25"/>
    <w:rsid w:val="000419E1"/>
    <w:rsid w:val="00041AB6"/>
    <w:rsid w:val="00042600"/>
    <w:rsid w:val="00042841"/>
    <w:rsid w:val="00042CD7"/>
    <w:rsid w:val="00042FA0"/>
    <w:rsid w:val="000437A7"/>
    <w:rsid w:val="0004393D"/>
    <w:rsid w:val="00043B19"/>
    <w:rsid w:val="00043C39"/>
    <w:rsid w:val="00044202"/>
    <w:rsid w:val="0004436B"/>
    <w:rsid w:val="000445E9"/>
    <w:rsid w:val="000448B2"/>
    <w:rsid w:val="00044927"/>
    <w:rsid w:val="00045BFC"/>
    <w:rsid w:val="0004633A"/>
    <w:rsid w:val="00046A67"/>
    <w:rsid w:val="00046E69"/>
    <w:rsid w:val="0004731E"/>
    <w:rsid w:val="00047689"/>
    <w:rsid w:val="00047BE3"/>
    <w:rsid w:val="00047DB5"/>
    <w:rsid w:val="00047F12"/>
    <w:rsid w:val="0005020D"/>
    <w:rsid w:val="00050601"/>
    <w:rsid w:val="00050DCC"/>
    <w:rsid w:val="00051D5B"/>
    <w:rsid w:val="00051F64"/>
    <w:rsid w:val="00052016"/>
    <w:rsid w:val="00052047"/>
    <w:rsid w:val="000527B1"/>
    <w:rsid w:val="00052BA4"/>
    <w:rsid w:val="00052DB5"/>
    <w:rsid w:val="00052E2B"/>
    <w:rsid w:val="00053150"/>
    <w:rsid w:val="0005352C"/>
    <w:rsid w:val="0005371B"/>
    <w:rsid w:val="000539EE"/>
    <w:rsid w:val="0005459B"/>
    <w:rsid w:val="000548D9"/>
    <w:rsid w:val="000548E6"/>
    <w:rsid w:val="0005497B"/>
    <w:rsid w:val="00054BE8"/>
    <w:rsid w:val="00055005"/>
    <w:rsid w:val="000557E0"/>
    <w:rsid w:val="00055F37"/>
    <w:rsid w:val="00056655"/>
    <w:rsid w:val="0005668B"/>
    <w:rsid w:val="000569B6"/>
    <w:rsid w:val="00056B35"/>
    <w:rsid w:val="00056E83"/>
    <w:rsid w:val="00057647"/>
    <w:rsid w:val="00057B02"/>
    <w:rsid w:val="00057C57"/>
    <w:rsid w:val="00060144"/>
    <w:rsid w:val="000601E7"/>
    <w:rsid w:val="00060341"/>
    <w:rsid w:val="0006038D"/>
    <w:rsid w:val="000604CF"/>
    <w:rsid w:val="000607F2"/>
    <w:rsid w:val="00060891"/>
    <w:rsid w:val="00060BD6"/>
    <w:rsid w:val="00060BE4"/>
    <w:rsid w:val="000615BB"/>
    <w:rsid w:val="00061B92"/>
    <w:rsid w:val="00062BE8"/>
    <w:rsid w:val="00062C33"/>
    <w:rsid w:val="00062D07"/>
    <w:rsid w:val="00062E02"/>
    <w:rsid w:val="00062E34"/>
    <w:rsid w:val="000636AD"/>
    <w:rsid w:val="0006385F"/>
    <w:rsid w:val="00063873"/>
    <w:rsid w:val="00063A85"/>
    <w:rsid w:val="0006460D"/>
    <w:rsid w:val="000649D2"/>
    <w:rsid w:val="000652E0"/>
    <w:rsid w:val="0006588D"/>
    <w:rsid w:val="00065B29"/>
    <w:rsid w:val="00065CFD"/>
    <w:rsid w:val="000666BC"/>
    <w:rsid w:val="000668AC"/>
    <w:rsid w:val="00067135"/>
    <w:rsid w:val="000678CF"/>
    <w:rsid w:val="000678FC"/>
    <w:rsid w:val="00067F82"/>
    <w:rsid w:val="00070164"/>
    <w:rsid w:val="00070217"/>
    <w:rsid w:val="00070367"/>
    <w:rsid w:val="00070419"/>
    <w:rsid w:val="000704CA"/>
    <w:rsid w:val="000706E2"/>
    <w:rsid w:val="00070A72"/>
    <w:rsid w:val="00070DC5"/>
    <w:rsid w:val="00070F1A"/>
    <w:rsid w:val="00070FAD"/>
    <w:rsid w:val="00071083"/>
    <w:rsid w:val="00071525"/>
    <w:rsid w:val="000717B6"/>
    <w:rsid w:val="000717E1"/>
    <w:rsid w:val="00071CAC"/>
    <w:rsid w:val="000733A7"/>
    <w:rsid w:val="00073466"/>
    <w:rsid w:val="000736AF"/>
    <w:rsid w:val="000736ED"/>
    <w:rsid w:val="0007416B"/>
    <w:rsid w:val="00074358"/>
    <w:rsid w:val="00074454"/>
    <w:rsid w:val="00074827"/>
    <w:rsid w:val="0007492A"/>
    <w:rsid w:val="00074F0F"/>
    <w:rsid w:val="0007502C"/>
    <w:rsid w:val="0007536B"/>
    <w:rsid w:val="00075C46"/>
    <w:rsid w:val="00075D11"/>
    <w:rsid w:val="00075EFE"/>
    <w:rsid w:val="000760C2"/>
    <w:rsid w:val="00076838"/>
    <w:rsid w:val="00076FBD"/>
    <w:rsid w:val="00077840"/>
    <w:rsid w:val="00077C59"/>
    <w:rsid w:val="00077E30"/>
    <w:rsid w:val="000800B8"/>
    <w:rsid w:val="00080D0D"/>
    <w:rsid w:val="000810C2"/>
    <w:rsid w:val="0008155A"/>
    <w:rsid w:val="000815FB"/>
    <w:rsid w:val="00081916"/>
    <w:rsid w:val="00081AA4"/>
    <w:rsid w:val="00081DB6"/>
    <w:rsid w:val="00081EB0"/>
    <w:rsid w:val="00082039"/>
    <w:rsid w:val="000820C1"/>
    <w:rsid w:val="00082233"/>
    <w:rsid w:val="000826FE"/>
    <w:rsid w:val="0008299E"/>
    <w:rsid w:val="00082AF6"/>
    <w:rsid w:val="00082C5A"/>
    <w:rsid w:val="00083678"/>
    <w:rsid w:val="0008371E"/>
    <w:rsid w:val="00083756"/>
    <w:rsid w:val="0008392C"/>
    <w:rsid w:val="00083B8C"/>
    <w:rsid w:val="00083F3E"/>
    <w:rsid w:val="0008415E"/>
    <w:rsid w:val="00084423"/>
    <w:rsid w:val="000849ED"/>
    <w:rsid w:val="00085024"/>
    <w:rsid w:val="00085593"/>
    <w:rsid w:val="0008572B"/>
    <w:rsid w:val="0008598E"/>
    <w:rsid w:val="00085B36"/>
    <w:rsid w:val="0008604E"/>
    <w:rsid w:val="0008605B"/>
    <w:rsid w:val="0008617A"/>
    <w:rsid w:val="00086C79"/>
    <w:rsid w:val="00086CDA"/>
    <w:rsid w:val="00086D09"/>
    <w:rsid w:val="00086E76"/>
    <w:rsid w:val="00087029"/>
    <w:rsid w:val="0008720D"/>
    <w:rsid w:val="0008725F"/>
    <w:rsid w:val="00087603"/>
    <w:rsid w:val="00087935"/>
    <w:rsid w:val="00087D53"/>
    <w:rsid w:val="00091120"/>
    <w:rsid w:val="000912FB"/>
    <w:rsid w:val="0009132D"/>
    <w:rsid w:val="000917CD"/>
    <w:rsid w:val="000918D8"/>
    <w:rsid w:val="00091C07"/>
    <w:rsid w:val="00091CE1"/>
    <w:rsid w:val="00092619"/>
    <w:rsid w:val="00092E18"/>
    <w:rsid w:val="0009300C"/>
    <w:rsid w:val="000932B3"/>
    <w:rsid w:val="00093437"/>
    <w:rsid w:val="00093C5D"/>
    <w:rsid w:val="00093F69"/>
    <w:rsid w:val="00094447"/>
    <w:rsid w:val="00094696"/>
    <w:rsid w:val="00094744"/>
    <w:rsid w:val="000948E4"/>
    <w:rsid w:val="00094CE0"/>
    <w:rsid w:val="00094D3B"/>
    <w:rsid w:val="00094E71"/>
    <w:rsid w:val="000954D8"/>
    <w:rsid w:val="0009555E"/>
    <w:rsid w:val="00095828"/>
    <w:rsid w:val="000958E2"/>
    <w:rsid w:val="00096027"/>
    <w:rsid w:val="00096767"/>
    <w:rsid w:val="000967ED"/>
    <w:rsid w:val="00097271"/>
    <w:rsid w:val="00097400"/>
    <w:rsid w:val="00097437"/>
    <w:rsid w:val="00097442"/>
    <w:rsid w:val="00097677"/>
    <w:rsid w:val="000976EF"/>
    <w:rsid w:val="0009784C"/>
    <w:rsid w:val="00097D65"/>
    <w:rsid w:val="00097EFE"/>
    <w:rsid w:val="000A048E"/>
    <w:rsid w:val="000A0579"/>
    <w:rsid w:val="000A08AF"/>
    <w:rsid w:val="000A095D"/>
    <w:rsid w:val="000A12BF"/>
    <w:rsid w:val="000A158D"/>
    <w:rsid w:val="000A164D"/>
    <w:rsid w:val="000A1706"/>
    <w:rsid w:val="000A178A"/>
    <w:rsid w:val="000A1A03"/>
    <w:rsid w:val="000A1A96"/>
    <w:rsid w:val="000A24F3"/>
    <w:rsid w:val="000A3A2D"/>
    <w:rsid w:val="000A3C2E"/>
    <w:rsid w:val="000A3CA2"/>
    <w:rsid w:val="000A3CB2"/>
    <w:rsid w:val="000A3FEB"/>
    <w:rsid w:val="000A40BF"/>
    <w:rsid w:val="000A4126"/>
    <w:rsid w:val="000A434C"/>
    <w:rsid w:val="000A4826"/>
    <w:rsid w:val="000A4BFA"/>
    <w:rsid w:val="000A4CCA"/>
    <w:rsid w:val="000A4E99"/>
    <w:rsid w:val="000A5478"/>
    <w:rsid w:val="000A58C3"/>
    <w:rsid w:val="000A59DE"/>
    <w:rsid w:val="000A5CC3"/>
    <w:rsid w:val="000A6598"/>
    <w:rsid w:val="000A65E8"/>
    <w:rsid w:val="000A6626"/>
    <w:rsid w:val="000A780E"/>
    <w:rsid w:val="000A78B6"/>
    <w:rsid w:val="000A7A51"/>
    <w:rsid w:val="000A7B86"/>
    <w:rsid w:val="000A7E3B"/>
    <w:rsid w:val="000A7FFB"/>
    <w:rsid w:val="000B0889"/>
    <w:rsid w:val="000B0E89"/>
    <w:rsid w:val="000B0F13"/>
    <w:rsid w:val="000B1047"/>
    <w:rsid w:val="000B1BAB"/>
    <w:rsid w:val="000B1C6B"/>
    <w:rsid w:val="000B23EA"/>
    <w:rsid w:val="000B2D05"/>
    <w:rsid w:val="000B2E70"/>
    <w:rsid w:val="000B2F6C"/>
    <w:rsid w:val="000B313E"/>
    <w:rsid w:val="000B31B0"/>
    <w:rsid w:val="000B338B"/>
    <w:rsid w:val="000B34C9"/>
    <w:rsid w:val="000B36D2"/>
    <w:rsid w:val="000B376C"/>
    <w:rsid w:val="000B3E90"/>
    <w:rsid w:val="000B4180"/>
    <w:rsid w:val="000B52F0"/>
    <w:rsid w:val="000B583C"/>
    <w:rsid w:val="000B6093"/>
    <w:rsid w:val="000B60C2"/>
    <w:rsid w:val="000B619B"/>
    <w:rsid w:val="000B62FD"/>
    <w:rsid w:val="000B68D0"/>
    <w:rsid w:val="000B70D9"/>
    <w:rsid w:val="000B7917"/>
    <w:rsid w:val="000C030B"/>
    <w:rsid w:val="000C0565"/>
    <w:rsid w:val="000C0631"/>
    <w:rsid w:val="000C0F11"/>
    <w:rsid w:val="000C0F24"/>
    <w:rsid w:val="000C147F"/>
    <w:rsid w:val="000C1CB4"/>
    <w:rsid w:val="000C1EFB"/>
    <w:rsid w:val="000C2310"/>
    <w:rsid w:val="000C241A"/>
    <w:rsid w:val="000C2B47"/>
    <w:rsid w:val="000C2FD4"/>
    <w:rsid w:val="000C3344"/>
    <w:rsid w:val="000C35FA"/>
    <w:rsid w:val="000C3683"/>
    <w:rsid w:val="000C3CDD"/>
    <w:rsid w:val="000C3D24"/>
    <w:rsid w:val="000C3EE9"/>
    <w:rsid w:val="000C4245"/>
    <w:rsid w:val="000C5400"/>
    <w:rsid w:val="000C5CBC"/>
    <w:rsid w:val="000C614E"/>
    <w:rsid w:val="000C61CF"/>
    <w:rsid w:val="000C64C4"/>
    <w:rsid w:val="000C689B"/>
    <w:rsid w:val="000C71F2"/>
    <w:rsid w:val="000D0259"/>
    <w:rsid w:val="000D03EE"/>
    <w:rsid w:val="000D090A"/>
    <w:rsid w:val="000D14B8"/>
    <w:rsid w:val="000D16C9"/>
    <w:rsid w:val="000D1909"/>
    <w:rsid w:val="000D1CFE"/>
    <w:rsid w:val="000D1D53"/>
    <w:rsid w:val="000D2131"/>
    <w:rsid w:val="000D254A"/>
    <w:rsid w:val="000D264A"/>
    <w:rsid w:val="000D2701"/>
    <w:rsid w:val="000D322D"/>
    <w:rsid w:val="000D3943"/>
    <w:rsid w:val="000D3A63"/>
    <w:rsid w:val="000D3A73"/>
    <w:rsid w:val="000D3B6B"/>
    <w:rsid w:val="000D3CF2"/>
    <w:rsid w:val="000D3FCA"/>
    <w:rsid w:val="000D44CF"/>
    <w:rsid w:val="000D4AE8"/>
    <w:rsid w:val="000D4CBE"/>
    <w:rsid w:val="000D5121"/>
    <w:rsid w:val="000D5661"/>
    <w:rsid w:val="000D58F2"/>
    <w:rsid w:val="000D5EC6"/>
    <w:rsid w:val="000D6412"/>
    <w:rsid w:val="000D6DC6"/>
    <w:rsid w:val="000D7185"/>
    <w:rsid w:val="000D7A73"/>
    <w:rsid w:val="000E008B"/>
    <w:rsid w:val="000E085B"/>
    <w:rsid w:val="000E0C8E"/>
    <w:rsid w:val="000E0FCA"/>
    <w:rsid w:val="000E16A3"/>
    <w:rsid w:val="000E1A2A"/>
    <w:rsid w:val="000E208B"/>
    <w:rsid w:val="000E22F2"/>
    <w:rsid w:val="000E2BBC"/>
    <w:rsid w:val="000E3875"/>
    <w:rsid w:val="000E3A17"/>
    <w:rsid w:val="000E3EE7"/>
    <w:rsid w:val="000E430E"/>
    <w:rsid w:val="000E464B"/>
    <w:rsid w:val="000E4686"/>
    <w:rsid w:val="000E485C"/>
    <w:rsid w:val="000E48C3"/>
    <w:rsid w:val="000E4D60"/>
    <w:rsid w:val="000E5001"/>
    <w:rsid w:val="000E55A8"/>
    <w:rsid w:val="000E5612"/>
    <w:rsid w:val="000E5616"/>
    <w:rsid w:val="000E59AF"/>
    <w:rsid w:val="000E5D48"/>
    <w:rsid w:val="000E5D72"/>
    <w:rsid w:val="000E5D9E"/>
    <w:rsid w:val="000E6763"/>
    <w:rsid w:val="000E6B7B"/>
    <w:rsid w:val="000E70E3"/>
    <w:rsid w:val="000F0037"/>
    <w:rsid w:val="000F07B0"/>
    <w:rsid w:val="000F0C22"/>
    <w:rsid w:val="000F0C8F"/>
    <w:rsid w:val="000F10C7"/>
    <w:rsid w:val="000F12AE"/>
    <w:rsid w:val="000F1582"/>
    <w:rsid w:val="000F1656"/>
    <w:rsid w:val="000F1DE5"/>
    <w:rsid w:val="000F1F42"/>
    <w:rsid w:val="000F2140"/>
    <w:rsid w:val="000F2610"/>
    <w:rsid w:val="000F2D58"/>
    <w:rsid w:val="000F30E6"/>
    <w:rsid w:val="000F31B2"/>
    <w:rsid w:val="000F3F8D"/>
    <w:rsid w:val="000F4018"/>
    <w:rsid w:val="000F4AAF"/>
    <w:rsid w:val="000F51B8"/>
    <w:rsid w:val="000F597F"/>
    <w:rsid w:val="000F5C51"/>
    <w:rsid w:val="000F5ED5"/>
    <w:rsid w:val="000F600C"/>
    <w:rsid w:val="000F6191"/>
    <w:rsid w:val="000F6529"/>
    <w:rsid w:val="000F6747"/>
    <w:rsid w:val="000F727A"/>
    <w:rsid w:val="000F7450"/>
    <w:rsid w:val="000F7C21"/>
    <w:rsid w:val="000F7C7E"/>
    <w:rsid w:val="000F7E4B"/>
    <w:rsid w:val="00100448"/>
    <w:rsid w:val="001005D1"/>
    <w:rsid w:val="00100674"/>
    <w:rsid w:val="00100F6B"/>
    <w:rsid w:val="00100FCA"/>
    <w:rsid w:val="00101191"/>
    <w:rsid w:val="001011F0"/>
    <w:rsid w:val="001013A6"/>
    <w:rsid w:val="00101AD5"/>
    <w:rsid w:val="00101B63"/>
    <w:rsid w:val="00101C33"/>
    <w:rsid w:val="001020AD"/>
    <w:rsid w:val="001026B7"/>
    <w:rsid w:val="001028C4"/>
    <w:rsid w:val="00102F7C"/>
    <w:rsid w:val="00103032"/>
    <w:rsid w:val="001034A3"/>
    <w:rsid w:val="0010353A"/>
    <w:rsid w:val="001041FA"/>
    <w:rsid w:val="001042AC"/>
    <w:rsid w:val="00104516"/>
    <w:rsid w:val="001048ED"/>
    <w:rsid w:val="001053A9"/>
    <w:rsid w:val="0010541C"/>
    <w:rsid w:val="00105875"/>
    <w:rsid w:val="00105A4A"/>
    <w:rsid w:val="00106BD6"/>
    <w:rsid w:val="00106F6F"/>
    <w:rsid w:val="001073D8"/>
    <w:rsid w:val="001076C3"/>
    <w:rsid w:val="00107BE6"/>
    <w:rsid w:val="00107CFF"/>
    <w:rsid w:val="001106A6"/>
    <w:rsid w:val="001106C0"/>
    <w:rsid w:val="001106E0"/>
    <w:rsid w:val="00110E92"/>
    <w:rsid w:val="00111091"/>
    <w:rsid w:val="00111145"/>
    <w:rsid w:val="00111A00"/>
    <w:rsid w:val="00111C7E"/>
    <w:rsid w:val="00111D86"/>
    <w:rsid w:val="00111EF4"/>
    <w:rsid w:val="00112C5C"/>
    <w:rsid w:val="00113AD6"/>
    <w:rsid w:val="00114342"/>
    <w:rsid w:val="001143A6"/>
    <w:rsid w:val="0011480B"/>
    <w:rsid w:val="00114DF3"/>
    <w:rsid w:val="001152AF"/>
    <w:rsid w:val="0011604A"/>
    <w:rsid w:val="0011631D"/>
    <w:rsid w:val="0011649F"/>
    <w:rsid w:val="0011675B"/>
    <w:rsid w:val="0011686A"/>
    <w:rsid w:val="001168B3"/>
    <w:rsid w:val="00117585"/>
    <w:rsid w:val="00117B7E"/>
    <w:rsid w:val="00117DE7"/>
    <w:rsid w:val="001200FC"/>
    <w:rsid w:val="001208A0"/>
    <w:rsid w:val="00120924"/>
    <w:rsid w:val="00121A80"/>
    <w:rsid w:val="00121C00"/>
    <w:rsid w:val="00121CC9"/>
    <w:rsid w:val="00121E6E"/>
    <w:rsid w:val="0012259D"/>
    <w:rsid w:val="001227AE"/>
    <w:rsid w:val="001227F6"/>
    <w:rsid w:val="00122BB9"/>
    <w:rsid w:val="0012322F"/>
    <w:rsid w:val="001232A5"/>
    <w:rsid w:val="00123333"/>
    <w:rsid w:val="00123368"/>
    <w:rsid w:val="00123466"/>
    <w:rsid w:val="0012383F"/>
    <w:rsid w:val="00123925"/>
    <w:rsid w:val="00123A59"/>
    <w:rsid w:val="0012440C"/>
    <w:rsid w:val="00124552"/>
    <w:rsid w:val="00124CA1"/>
    <w:rsid w:val="00124DE8"/>
    <w:rsid w:val="00124EC6"/>
    <w:rsid w:val="001259B4"/>
    <w:rsid w:val="00125EED"/>
    <w:rsid w:val="00126161"/>
    <w:rsid w:val="001276FF"/>
    <w:rsid w:val="00127E60"/>
    <w:rsid w:val="0013000F"/>
    <w:rsid w:val="0013055A"/>
    <w:rsid w:val="0013060F"/>
    <w:rsid w:val="00130D9E"/>
    <w:rsid w:val="00131324"/>
    <w:rsid w:val="00131491"/>
    <w:rsid w:val="001317AB"/>
    <w:rsid w:val="001320AF"/>
    <w:rsid w:val="0013294F"/>
    <w:rsid w:val="00132EAE"/>
    <w:rsid w:val="001331BD"/>
    <w:rsid w:val="00133392"/>
    <w:rsid w:val="00133476"/>
    <w:rsid w:val="001334B5"/>
    <w:rsid w:val="00133849"/>
    <w:rsid w:val="00133C2E"/>
    <w:rsid w:val="00133EEB"/>
    <w:rsid w:val="00134D51"/>
    <w:rsid w:val="00134E0B"/>
    <w:rsid w:val="001351C5"/>
    <w:rsid w:val="0013531B"/>
    <w:rsid w:val="00135EEE"/>
    <w:rsid w:val="0013616D"/>
    <w:rsid w:val="001364B9"/>
    <w:rsid w:val="001368A8"/>
    <w:rsid w:val="00136E90"/>
    <w:rsid w:val="00136F5F"/>
    <w:rsid w:val="001370C9"/>
    <w:rsid w:val="0013798C"/>
    <w:rsid w:val="00137C80"/>
    <w:rsid w:val="0014020A"/>
    <w:rsid w:val="00140416"/>
    <w:rsid w:val="001405C3"/>
    <w:rsid w:val="001407F5"/>
    <w:rsid w:val="00140B21"/>
    <w:rsid w:val="00141664"/>
    <w:rsid w:val="00142212"/>
    <w:rsid w:val="0014267F"/>
    <w:rsid w:val="001426C7"/>
    <w:rsid w:val="00142B5B"/>
    <w:rsid w:val="00142D75"/>
    <w:rsid w:val="00142DD6"/>
    <w:rsid w:val="00142DDB"/>
    <w:rsid w:val="00143042"/>
    <w:rsid w:val="001435CF"/>
    <w:rsid w:val="00143875"/>
    <w:rsid w:val="0014422A"/>
    <w:rsid w:val="001444C1"/>
    <w:rsid w:val="00144751"/>
    <w:rsid w:val="001447B1"/>
    <w:rsid w:val="00144816"/>
    <w:rsid w:val="00144A32"/>
    <w:rsid w:val="00144AE0"/>
    <w:rsid w:val="00144ECB"/>
    <w:rsid w:val="0014522C"/>
    <w:rsid w:val="001454ED"/>
    <w:rsid w:val="00145843"/>
    <w:rsid w:val="00145AE1"/>
    <w:rsid w:val="00146092"/>
    <w:rsid w:val="0014627E"/>
    <w:rsid w:val="001463B3"/>
    <w:rsid w:val="00146575"/>
    <w:rsid w:val="001467AF"/>
    <w:rsid w:val="00146B68"/>
    <w:rsid w:val="00146C33"/>
    <w:rsid w:val="00146F52"/>
    <w:rsid w:val="00147544"/>
    <w:rsid w:val="00147DF7"/>
    <w:rsid w:val="00150ADD"/>
    <w:rsid w:val="00150CCD"/>
    <w:rsid w:val="00150FD8"/>
    <w:rsid w:val="0015114E"/>
    <w:rsid w:val="0015187C"/>
    <w:rsid w:val="00151CA5"/>
    <w:rsid w:val="00151E33"/>
    <w:rsid w:val="00151F01"/>
    <w:rsid w:val="00152373"/>
    <w:rsid w:val="00152480"/>
    <w:rsid w:val="00152B58"/>
    <w:rsid w:val="00152DA7"/>
    <w:rsid w:val="00152E58"/>
    <w:rsid w:val="00153305"/>
    <w:rsid w:val="001539D2"/>
    <w:rsid w:val="001542D5"/>
    <w:rsid w:val="00154DB7"/>
    <w:rsid w:val="00154EF8"/>
    <w:rsid w:val="00155234"/>
    <w:rsid w:val="00156179"/>
    <w:rsid w:val="0015620D"/>
    <w:rsid w:val="00156AF2"/>
    <w:rsid w:val="00157295"/>
    <w:rsid w:val="00157BEC"/>
    <w:rsid w:val="00157C8F"/>
    <w:rsid w:val="00157D10"/>
    <w:rsid w:val="00157E23"/>
    <w:rsid w:val="00160008"/>
    <w:rsid w:val="001600C7"/>
    <w:rsid w:val="001609A6"/>
    <w:rsid w:val="00160A4D"/>
    <w:rsid w:val="00161682"/>
    <w:rsid w:val="00161C73"/>
    <w:rsid w:val="00162070"/>
    <w:rsid w:val="00162158"/>
    <w:rsid w:val="001623B0"/>
    <w:rsid w:val="00162496"/>
    <w:rsid w:val="00162542"/>
    <w:rsid w:val="001629C3"/>
    <w:rsid w:val="00162F6F"/>
    <w:rsid w:val="00163177"/>
    <w:rsid w:val="001633BA"/>
    <w:rsid w:val="0016417C"/>
    <w:rsid w:val="0016455E"/>
    <w:rsid w:val="00164E40"/>
    <w:rsid w:val="00165235"/>
    <w:rsid w:val="001655A7"/>
    <w:rsid w:val="00166083"/>
    <w:rsid w:val="001660FE"/>
    <w:rsid w:val="00166456"/>
    <w:rsid w:val="001666A1"/>
    <w:rsid w:val="0016686F"/>
    <w:rsid w:val="0016718F"/>
    <w:rsid w:val="00167830"/>
    <w:rsid w:val="0016798C"/>
    <w:rsid w:val="00167CD8"/>
    <w:rsid w:val="00167DCC"/>
    <w:rsid w:val="00170784"/>
    <w:rsid w:val="00170CC5"/>
    <w:rsid w:val="00170E0B"/>
    <w:rsid w:val="00171045"/>
    <w:rsid w:val="00171244"/>
    <w:rsid w:val="00171256"/>
    <w:rsid w:val="0017157B"/>
    <w:rsid w:val="001715D6"/>
    <w:rsid w:val="001717F5"/>
    <w:rsid w:val="00171EDB"/>
    <w:rsid w:val="001721FA"/>
    <w:rsid w:val="0017272E"/>
    <w:rsid w:val="0017298F"/>
    <w:rsid w:val="0017394E"/>
    <w:rsid w:val="00173965"/>
    <w:rsid w:val="00173968"/>
    <w:rsid w:val="00173A05"/>
    <w:rsid w:val="00173ACA"/>
    <w:rsid w:val="00173C09"/>
    <w:rsid w:val="00173EF1"/>
    <w:rsid w:val="001755E7"/>
    <w:rsid w:val="001757BE"/>
    <w:rsid w:val="00175AC7"/>
    <w:rsid w:val="00175AF5"/>
    <w:rsid w:val="00175D7D"/>
    <w:rsid w:val="00175E49"/>
    <w:rsid w:val="00175F16"/>
    <w:rsid w:val="00176134"/>
    <w:rsid w:val="0017624C"/>
    <w:rsid w:val="0017635B"/>
    <w:rsid w:val="00176548"/>
    <w:rsid w:val="0017659E"/>
    <w:rsid w:val="0017669B"/>
    <w:rsid w:val="00176D12"/>
    <w:rsid w:val="00177246"/>
    <w:rsid w:val="00177249"/>
    <w:rsid w:val="0017794C"/>
    <w:rsid w:val="00177DD8"/>
    <w:rsid w:val="00177EB4"/>
    <w:rsid w:val="001806F3"/>
    <w:rsid w:val="00180CA2"/>
    <w:rsid w:val="00180D03"/>
    <w:rsid w:val="00180F8D"/>
    <w:rsid w:val="00181121"/>
    <w:rsid w:val="00181376"/>
    <w:rsid w:val="001814E9"/>
    <w:rsid w:val="00181A4A"/>
    <w:rsid w:val="00181C52"/>
    <w:rsid w:val="00182A42"/>
    <w:rsid w:val="00182B24"/>
    <w:rsid w:val="00182E29"/>
    <w:rsid w:val="00183A09"/>
    <w:rsid w:val="00183E68"/>
    <w:rsid w:val="00184154"/>
    <w:rsid w:val="00184259"/>
    <w:rsid w:val="00184848"/>
    <w:rsid w:val="00184C08"/>
    <w:rsid w:val="00184D3A"/>
    <w:rsid w:val="00184EA1"/>
    <w:rsid w:val="00184F90"/>
    <w:rsid w:val="0018525C"/>
    <w:rsid w:val="0018550C"/>
    <w:rsid w:val="001856AD"/>
    <w:rsid w:val="00185DE3"/>
    <w:rsid w:val="00185F29"/>
    <w:rsid w:val="001860D1"/>
    <w:rsid w:val="001863B9"/>
    <w:rsid w:val="001864AE"/>
    <w:rsid w:val="001865AB"/>
    <w:rsid w:val="001866EF"/>
    <w:rsid w:val="00186A09"/>
    <w:rsid w:val="00186B54"/>
    <w:rsid w:val="001872DC"/>
    <w:rsid w:val="001875AD"/>
    <w:rsid w:val="00187E78"/>
    <w:rsid w:val="00190AE7"/>
    <w:rsid w:val="00190CB0"/>
    <w:rsid w:val="001910A6"/>
    <w:rsid w:val="00191167"/>
    <w:rsid w:val="00191303"/>
    <w:rsid w:val="00191355"/>
    <w:rsid w:val="00191B35"/>
    <w:rsid w:val="00191C54"/>
    <w:rsid w:val="00191DCC"/>
    <w:rsid w:val="001921A3"/>
    <w:rsid w:val="00192646"/>
    <w:rsid w:val="00192A61"/>
    <w:rsid w:val="00192DB3"/>
    <w:rsid w:val="001931B1"/>
    <w:rsid w:val="001932FE"/>
    <w:rsid w:val="00193342"/>
    <w:rsid w:val="00193468"/>
    <w:rsid w:val="00193557"/>
    <w:rsid w:val="001935AD"/>
    <w:rsid w:val="001937F1"/>
    <w:rsid w:val="00193A5C"/>
    <w:rsid w:val="00193FB3"/>
    <w:rsid w:val="00194461"/>
    <w:rsid w:val="00194AD1"/>
    <w:rsid w:val="00195318"/>
    <w:rsid w:val="00195319"/>
    <w:rsid w:val="00195709"/>
    <w:rsid w:val="00195914"/>
    <w:rsid w:val="00196044"/>
    <w:rsid w:val="001962A5"/>
    <w:rsid w:val="0019650D"/>
    <w:rsid w:val="00196621"/>
    <w:rsid w:val="00196CE2"/>
    <w:rsid w:val="00196CEA"/>
    <w:rsid w:val="00196EB0"/>
    <w:rsid w:val="001975B2"/>
    <w:rsid w:val="001978E1"/>
    <w:rsid w:val="00197D09"/>
    <w:rsid w:val="001A0273"/>
    <w:rsid w:val="001A02D1"/>
    <w:rsid w:val="001A033D"/>
    <w:rsid w:val="001A043C"/>
    <w:rsid w:val="001A04AA"/>
    <w:rsid w:val="001A1065"/>
    <w:rsid w:val="001A1988"/>
    <w:rsid w:val="001A21CE"/>
    <w:rsid w:val="001A2250"/>
    <w:rsid w:val="001A24AB"/>
    <w:rsid w:val="001A2585"/>
    <w:rsid w:val="001A270E"/>
    <w:rsid w:val="001A29F0"/>
    <w:rsid w:val="001A2E43"/>
    <w:rsid w:val="001A3019"/>
    <w:rsid w:val="001A334F"/>
    <w:rsid w:val="001A33B8"/>
    <w:rsid w:val="001A3E67"/>
    <w:rsid w:val="001A460A"/>
    <w:rsid w:val="001A5543"/>
    <w:rsid w:val="001A5D55"/>
    <w:rsid w:val="001A6514"/>
    <w:rsid w:val="001A68E8"/>
    <w:rsid w:val="001A6AF6"/>
    <w:rsid w:val="001A6B7B"/>
    <w:rsid w:val="001A7309"/>
    <w:rsid w:val="001A737E"/>
    <w:rsid w:val="001A77B4"/>
    <w:rsid w:val="001A7D38"/>
    <w:rsid w:val="001A7E0D"/>
    <w:rsid w:val="001B01DF"/>
    <w:rsid w:val="001B1085"/>
    <w:rsid w:val="001B13D3"/>
    <w:rsid w:val="001B157A"/>
    <w:rsid w:val="001B18C9"/>
    <w:rsid w:val="001B2391"/>
    <w:rsid w:val="001B239C"/>
    <w:rsid w:val="001B2B1D"/>
    <w:rsid w:val="001B2E1D"/>
    <w:rsid w:val="001B310C"/>
    <w:rsid w:val="001B35BE"/>
    <w:rsid w:val="001B39AF"/>
    <w:rsid w:val="001B3BE1"/>
    <w:rsid w:val="001B3E28"/>
    <w:rsid w:val="001B3EB6"/>
    <w:rsid w:val="001B3FA9"/>
    <w:rsid w:val="001B3FEC"/>
    <w:rsid w:val="001B41FD"/>
    <w:rsid w:val="001B42E5"/>
    <w:rsid w:val="001B4626"/>
    <w:rsid w:val="001B462B"/>
    <w:rsid w:val="001B4BCB"/>
    <w:rsid w:val="001B4D04"/>
    <w:rsid w:val="001B5408"/>
    <w:rsid w:val="001B5927"/>
    <w:rsid w:val="001B5BC3"/>
    <w:rsid w:val="001B5EF5"/>
    <w:rsid w:val="001B6338"/>
    <w:rsid w:val="001B6C6B"/>
    <w:rsid w:val="001B707D"/>
    <w:rsid w:val="001B7355"/>
    <w:rsid w:val="001B7C19"/>
    <w:rsid w:val="001C02D8"/>
    <w:rsid w:val="001C0384"/>
    <w:rsid w:val="001C0529"/>
    <w:rsid w:val="001C07AF"/>
    <w:rsid w:val="001C1143"/>
    <w:rsid w:val="001C12FA"/>
    <w:rsid w:val="001C1327"/>
    <w:rsid w:val="001C1AB4"/>
    <w:rsid w:val="001C1B18"/>
    <w:rsid w:val="001C2000"/>
    <w:rsid w:val="001C2339"/>
    <w:rsid w:val="001C2598"/>
    <w:rsid w:val="001C285C"/>
    <w:rsid w:val="001C2C0F"/>
    <w:rsid w:val="001C2CD2"/>
    <w:rsid w:val="001C2D14"/>
    <w:rsid w:val="001C2E53"/>
    <w:rsid w:val="001C3114"/>
    <w:rsid w:val="001C3DBB"/>
    <w:rsid w:val="001C4103"/>
    <w:rsid w:val="001C44DC"/>
    <w:rsid w:val="001C45D3"/>
    <w:rsid w:val="001C49B1"/>
    <w:rsid w:val="001C575A"/>
    <w:rsid w:val="001C58BE"/>
    <w:rsid w:val="001C598B"/>
    <w:rsid w:val="001C646C"/>
    <w:rsid w:val="001C6B57"/>
    <w:rsid w:val="001C6EBE"/>
    <w:rsid w:val="001C72EA"/>
    <w:rsid w:val="001C7577"/>
    <w:rsid w:val="001C7910"/>
    <w:rsid w:val="001C7FBA"/>
    <w:rsid w:val="001D0745"/>
    <w:rsid w:val="001D07A5"/>
    <w:rsid w:val="001D0886"/>
    <w:rsid w:val="001D0BB2"/>
    <w:rsid w:val="001D1888"/>
    <w:rsid w:val="001D18BA"/>
    <w:rsid w:val="001D18F2"/>
    <w:rsid w:val="001D1FB5"/>
    <w:rsid w:val="001D2739"/>
    <w:rsid w:val="001D2E57"/>
    <w:rsid w:val="001D33F8"/>
    <w:rsid w:val="001D36A9"/>
    <w:rsid w:val="001D3752"/>
    <w:rsid w:val="001D37D7"/>
    <w:rsid w:val="001D3908"/>
    <w:rsid w:val="001D3A61"/>
    <w:rsid w:val="001D3BBE"/>
    <w:rsid w:val="001D3E88"/>
    <w:rsid w:val="001D40C9"/>
    <w:rsid w:val="001D42A0"/>
    <w:rsid w:val="001D495B"/>
    <w:rsid w:val="001D4B27"/>
    <w:rsid w:val="001D4E68"/>
    <w:rsid w:val="001D5053"/>
    <w:rsid w:val="001D56FF"/>
    <w:rsid w:val="001D654F"/>
    <w:rsid w:val="001D66FA"/>
    <w:rsid w:val="001D6A78"/>
    <w:rsid w:val="001D6B1C"/>
    <w:rsid w:val="001D6B1E"/>
    <w:rsid w:val="001D70FA"/>
    <w:rsid w:val="001D72A4"/>
    <w:rsid w:val="001D762D"/>
    <w:rsid w:val="001D77D7"/>
    <w:rsid w:val="001D792C"/>
    <w:rsid w:val="001E06F5"/>
    <w:rsid w:val="001E07F8"/>
    <w:rsid w:val="001E08ED"/>
    <w:rsid w:val="001E0B1B"/>
    <w:rsid w:val="001E10D0"/>
    <w:rsid w:val="001E12A7"/>
    <w:rsid w:val="001E1435"/>
    <w:rsid w:val="001E1462"/>
    <w:rsid w:val="001E17E7"/>
    <w:rsid w:val="001E194C"/>
    <w:rsid w:val="001E1B6D"/>
    <w:rsid w:val="001E2457"/>
    <w:rsid w:val="001E25DE"/>
    <w:rsid w:val="001E2800"/>
    <w:rsid w:val="001E2D88"/>
    <w:rsid w:val="001E2E24"/>
    <w:rsid w:val="001E3016"/>
    <w:rsid w:val="001E317C"/>
    <w:rsid w:val="001E33CF"/>
    <w:rsid w:val="001E3725"/>
    <w:rsid w:val="001E3988"/>
    <w:rsid w:val="001E3DD6"/>
    <w:rsid w:val="001E4034"/>
    <w:rsid w:val="001E4140"/>
    <w:rsid w:val="001E4B3B"/>
    <w:rsid w:val="001E4B81"/>
    <w:rsid w:val="001E508D"/>
    <w:rsid w:val="001E5C9D"/>
    <w:rsid w:val="001E5FAB"/>
    <w:rsid w:val="001E6433"/>
    <w:rsid w:val="001E680E"/>
    <w:rsid w:val="001E69C1"/>
    <w:rsid w:val="001E6B77"/>
    <w:rsid w:val="001E6DC3"/>
    <w:rsid w:val="001E7BB2"/>
    <w:rsid w:val="001E7C22"/>
    <w:rsid w:val="001E7CA3"/>
    <w:rsid w:val="001F01DE"/>
    <w:rsid w:val="001F02F2"/>
    <w:rsid w:val="001F0527"/>
    <w:rsid w:val="001F094B"/>
    <w:rsid w:val="001F0B53"/>
    <w:rsid w:val="001F0C21"/>
    <w:rsid w:val="001F0F4A"/>
    <w:rsid w:val="001F0FBC"/>
    <w:rsid w:val="001F11F7"/>
    <w:rsid w:val="001F12F6"/>
    <w:rsid w:val="001F138B"/>
    <w:rsid w:val="001F1A65"/>
    <w:rsid w:val="001F1A67"/>
    <w:rsid w:val="001F22A6"/>
    <w:rsid w:val="001F26FB"/>
    <w:rsid w:val="001F27B0"/>
    <w:rsid w:val="001F27FA"/>
    <w:rsid w:val="001F2B26"/>
    <w:rsid w:val="001F2F52"/>
    <w:rsid w:val="001F3039"/>
    <w:rsid w:val="001F327A"/>
    <w:rsid w:val="001F3999"/>
    <w:rsid w:val="001F3ACC"/>
    <w:rsid w:val="001F3CBD"/>
    <w:rsid w:val="001F4409"/>
    <w:rsid w:val="001F478A"/>
    <w:rsid w:val="001F47A4"/>
    <w:rsid w:val="001F4CB4"/>
    <w:rsid w:val="001F5294"/>
    <w:rsid w:val="001F53C8"/>
    <w:rsid w:val="001F5BC1"/>
    <w:rsid w:val="001F5D84"/>
    <w:rsid w:val="001F6440"/>
    <w:rsid w:val="001F6AA6"/>
    <w:rsid w:val="001F6C67"/>
    <w:rsid w:val="001F7321"/>
    <w:rsid w:val="001F79D4"/>
    <w:rsid w:val="001F7E8B"/>
    <w:rsid w:val="001F7E9A"/>
    <w:rsid w:val="001F7FAC"/>
    <w:rsid w:val="00200924"/>
    <w:rsid w:val="00200BF9"/>
    <w:rsid w:val="00200EED"/>
    <w:rsid w:val="00201529"/>
    <w:rsid w:val="00202081"/>
    <w:rsid w:val="0020272F"/>
    <w:rsid w:val="0020290A"/>
    <w:rsid w:val="00202F3A"/>
    <w:rsid w:val="002035BB"/>
    <w:rsid w:val="00203659"/>
    <w:rsid w:val="002036F2"/>
    <w:rsid w:val="002037C9"/>
    <w:rsid w:val="00203FC8"/>
    <w:rsid w:val="00203FF8"/>
    <w:rsid w:val="0020411F"/>
    <w:rsid w:val="00204194"/>
    <w:rsid w:val="00204441"/>
    <w:rsid w:val="002048D1"/>
    <w:rsid w:val="0020499C"/>
    <w:rsid w:val="00204F5A"/>
    <w:rsid w:val="002051C3"/>
    <w:rsid w:val="0020556C"/>
    <w:rsid w:val="002056B5"/>
    <w:rsid w:val="00205726"/>
    <w:rsid w:val="002057D6"/>
    <w:rsid w:val="00205A07"/>
    <w:rsid w:val="00205EB6"/>
    <w:rsid w:val="002064C3"/>
    <w:rsid w:val="00206F4B"/>
    <w:rsid w:val="0020722F"/>
    <w:rsid w:val="00207AEC"/>
    <w:rsid w:val="00207F67"/>
    <w:rsid w:val="002103E2"/>
    <w:rsid w:val="00210644"/>
    <w:rsid w:val="00210B1A"/>
    <w:rsid w:val="002111DA"/>
    <w:rsid w:val="002119ED"/>
    <w:rsid w:val="00211B88"/>
    <w:rsid w:val="00211C08"/>
    <w:rsid w:val="002121EB"/>
    <w:rsid w:val="00212451"/>
    <w:rsid w:val="002129C9"/>
    <w:rsid w:val="00213395"/>
    <w:rsid w:val="00213771"/>
    <w:rsid w:val="00213943"/>
    <w:rsid w:val="00214F0A"/>
    <w:rsid w:val="002153B3"/>
    <w:rsid w:val="0021579D"/>
    <w:rsid w:val="002159C0"/>
    <w:rsid w:val="00215BB1"/>
    <w:rsid w:val="00215E34"/>
    <w:rsid w:val="0021617F"/>
    <w:rsid w:val="0021697B"/>
    <w:rsid w:val="00216F93"/>
    <w:rsid w:val="0021774F"/>
    <w:rsid w:val="00217CFB"/>
    <w:rsid w:val="002202B4"/>
    <w:rsid w:val="002202D9"/>
    <w:rsid w:val="002202FF"/>
    <w:rsid w:val="0022051E"/>
    <w:rsid w:val="00220627"/>
    <w:rsid w:val="00220699"/>
    <w:rsid w:val="00220791"/>
    <w:rsid w:val="00221250"/>
    <w:rsid w:val="00221315"/>
    <w:rsid w:val="00221BAE"/>
    <w:rsid w:val="00221C16"/>
    <w:rsid w:val="00222305"/>
    <w:rsid w:val="00222805"/>
    <w:rsid w:val="00222A98"/>
    <w:rsid w:val="00222D92"/>
    <w:rsid w:val="00222EC2"/>
    <w:rsid w:val="00222EC8"/>
    <w:rsid w:val="00223159"/>
    <w:rsid w:val="00223168"/>
    <w:rsid w:val="002235B5"/>
    <w:rsid w:val="00223DC5"/>
    <w:rsid w:val="002240E2"/>
    <w:rsid w:val="002241FF"/>
    <w:rsid w:val="002243F5"/>
    <w:rsid w:val="0022447A"/>
    <w:rsid w:val="00224DE4"/>
    <w:rsid w:val="00224E60"/>
    <w:rsid w:val="00225580"/>
    <w:rsid w:val="00225665"/>
    <w:rsid w:val="00225A01"/>
    <w:rsid w:val="00225A38"/>
    <w:rsid w:val="00225B15"/>
    <w:rsid w:val="00225E8C"/>
    <w:rsid w:val="00226978"/>
    <w:rsid w:val="00226D4C"/>
    <w:rsid w:val="00227922"/>
    <w:rsid w:val="00227B44"/>
    <w:rsid w:val="00227CBE"/>
    <w:rsid w:val="0023024B"/>
    <w:rsid w:val="00230602"/>
    <w:rsid w:val="002307B0"/>
    <w:rsid w:val="0023087F"/>
    <w:rsid w:val="002308EF"/>
    <w:rsid w:val="00230BF1"/>
    <w:rsid w:val="00230C44"/>
    <w:rsid w:val="00231206"/>
    <w:rsid w:val="00231296"/>
    <w:rsid w:val="0023134F"/>
    <w:rsid w:val="0023145B"/>
    <w:rsid w:val="00231682"/>
    <w:rsid w:val="00231A48"/>
    <w:rsid w:val="00231B17"/>
    <w:rsid w:val="00231C03"/>
    <w:rsid w:val="0023241A"/>
    <w:rsid w:val="00232455"/>
    <w:rsid w:val="002324B7"/>
    <w:rsid w:val="00232847"/>
    <w:rsid w:val="00232B82"/>
    <w:rsid w:val="002332D5"/>
    <w:rsid w:val="002336E4"/>
    <w:rsid w:val="002338A2"/>
    <w:rsid w:val="0023394D"/>
    <w:rsid w:val="00233B39"/>
    <w:rsid w:val="00234751"/>
    <w:rsid w:val="002349E2"/>
    <w:rsid w:val="00234B6C"/>
    <w:rsid w:val="00234C67"/>
    <w:rsid w:val="00234E94"/>
    <w:rsid w:val="002352AD"/>
    <w:rsid w:val="0023556D"/>
    <w:rsid w:val="0023572B"/>
    <w:rsid w:val="00235885"/>
    <w:rsid w:val="00235C57"/>
    <w:rsid w:val="00235CCD"/>
    <w:rsid w:val="00235CE6"/>
    <w:rsid w:val="00235CF5"/>
    <w:rsid w:val="00235DB1"/>
    <w:rsid w:val="00236393"/>
    <w:rsid w:val="002368EC"/>
    <w:rsid w:val="00236AB3"/>
    <w:rsid w:val="00236B16"/>
    <w:rsid w:val="00236BE1"/>
    <w:rsid w:val="00236CE0"/>
    <w:rsid w:val="00236ECB"/>
    <w:rsid w:val="00237E69"/>
    <w:rsid w:val="00237E97"/>
    <w:rsid w:val="00237E98"/>
    <w:rsid w:val="0024051A"/>
    <w:rsid w:val="002407A1"/>
    <w:rsid w:val="00240CD9"/>
    <w:rsid w:val="00240FC7"/>
    <w:rsid w:val="00241092"/>
    <w:rsid w:val="002417C9"/>
    <w:rsid w:val="00241909"/>
    <w:rsid w:val="00241A7D"/>
    <w:rsid w:val="00241BE2"/>
    <w:rsid w:val="00242357"/>
    <w:rsid w:val="002423CB"/>
    <w:rsid w:val="00242537"/>
    <w:rsid w:val="00242A87"/>
    <w:rsid w:val="00242BAE"/>
    <w:rsid w:val="00242E7D"/>
    <w:rsid w:val="00242EB6"/>
    <w:rsid w:val="002430E0"/>
    <w:rsid w:val="0024332C"/>
    <w:rsid w:val="002433D4"/>
    <w:rsid w:val="00243BB5"/>
    <w:rsid w:val="00243FB2"/>
    <w:rsid w:val="00244D25"/>
    <w:rsid w:val="00244F9E"/>
    <w:rsid w:val="00245717"/>
    <w:rsid w:val="002457FC"/>
    <w:rsid w:val="0024586E"/>
    <w:rsid w:val="00245A5D"/>
    <w:rsid w:val="00245B0D"/>
    <w:rsid w:val="00245CFE"/>
    <w:rsid w:val="00245DDA"/>
    <w:rsid w:val="00246BD3"/>
    <w:rsid w:val="00246F48"/>
    <w:rsid w:val="00247A7D"/>
    <w:rsid w:val="00247BC7"/>
    <w:rsid w:val="002501C3"/>
    <w:rsid w:val="002501E3"/>
    <w:rsid w:val="002506B5"/>
    <w:rsid w:val="002508B6"/>
    <w:rsid w:val="00250BBC"/>
    <w:rsid w:val="0025296B"/>
    <w:rsid w:val="002531E3"/>
    <w:rsid w:val="002531EC"/>
    <w:rsid w:val="00253251"/>
    <w:rsid w:val="00253837"/>
    <w:rsid w:val="00253D0E"/>
    <w:rsid w:val="00253D6A"/>
    <w:rsid w:val="00253E21"/>
    <w:rsid w:val="00253FF5"/>
    <w:rsid w:val="002541BF"/>
    <w:rsid w:val="00254D30"/>
    <w:rsid w:val="00254FAB"/>
    <w:rsid w:val="00255115"/>
    <w:rsid w:val="00255B31"/>
    <w:rsid w:val="002561E5"/>
    <w:rsid w:val="0025631C"/>
    <w:rsid w:val="0025682C"/>
    <w:rsid w:val="0025692F"/>
    <w:rsid w:val="002569A6"/>
    <w:rsid w:val="00256C8A"/>
    <w:rsid w:val="002607CF"/>
    <w:rsid w:val="00260887"/>
    <w:rsid w:val="00260984"/>
    <w:rsid w:val="00260EA4"/>
    <w:rsid w:val="0026130A"/>
    <w:rsid w:val="0026144F"/>
    <w:rsid w:val="00261720"/>
    <w:rsid w:val="0026193D"/>
    <w:rsid w:val="00261EF3"/>
    <w:rsid w:val="0026237D"/>
    <w:rsid w:val="0026260C"/>
    <w:rsid w:val="00263134"/>
    <w:rsid w:val="0026354D"/>
    <w:rsid w:val="00263879"/>
    <w:rsid w:val="002639BD"/>
    <w:rsid w:val="00263A7A"/>
    <w:rsid w:val="0026411C"/>
    <w:rsid w:val="0026460B"/>
    <w:rsid w:val="00264E32"/>
    <w:rsid w:val="00264F92"/>
    <w:rsid w:val="00265380"/>
    <w:rsid w:val="00265B79"/>
    <w:rsid w:val="00265D2A"/>
    <w:rsid w:val="00265E8B"/>
    <w:rsid w:val="00266517"/>
    <w:rsid w:val="00266940"/>
    <w:rsid w:val="00267149"/>
    <w:rsid w:val="002679C0"/>
    <w:rsid w:val="00267CB1"/>
    <w:rsid w:val="00267E94"/>
    <w:rsid w:val="00267FEA"/>
    <w:rsid w:val="002701B2"/>
    <w:rsid w:val="002705D5"/>
    <w:rsid w:val="002707F5"/>
    <w:rsid w:val="00270A9D"/>
    <w:rsid w:val="00270B21"/>
    <w:rsid w:val="00270BCB"/>
    <w:rsid w:val="00270E50"/>
    <w:rsid w:val="00270F5C"/>
    <w:rsid w:val="0027102E"/>
    <w:rsid w:val="00271092"/>
    <w:rsid w:val="002711F7"/>
    <w:rsid w:val="00271B15"/>
    <w:rsid w:val="00271B70"/>
    <w:rsid w:val="00271D75"/>
    <w:rsid w:val="0027203F"/>
    <w:rsid w:val="002723CE"/>
    <w:rsid w:val="00272C0E"/>
    <w:rsid w:val="0027318A"/>
    <w:rsid w:val="002735C9"/>
    <w:rsid w:val="0027402E"/>
    <w:rsid w:val="00274150"/>
    <w:rsid w:val="00274976"/>
    <w:rsid w:val="00274A10"/>
    <w:rsid w:val="00274CF7"/>
    <w:rsid w:val="00274F57"/>
    <w:rsid w:val="00275169"/>
    <w:rsid w:val="0027548B"/>
    <w:rsid w:val="0027548E"/>
    <w:rsid w:val="002754C1"/>
    <w:rsid w:val="00275664"/>
    <w:rsid w:val="00275B92"/>
    <w:rsid w:val="00275DE1"/>
    <w:rsid w:val="002766DD"/>
    <w:rsid w:val="00276A4E"/>
    <w:rsid w:val="00276C7E"/>
    <w:rsid w:val="00277A50"/>
    <w:rsid w:val="00277DF0"/>
    <w:rsid w:val="002800D6"/>
    <w:rsid w:val="002801F9"/>
    <w:rsid w:val="00280743"/>
    <w:rsid w:val="00280BEE"/>
    <w:rsid w:val="00280E5F"/>
    <w:rsid w:val="002811B6"/>
    <w:rsid w:val="002817DF"/>
    <w:rsid w:val="002817ED"/>
    <w:rsid w:val="00281A0D"/>
    <w:rsid w:val="00281CD0"/>
    <w:rsid w:val="00281EF1"/>
    <w:rsid w:val="00282809"/>
    <w:rsid w:val="0028317D"/>
    <w:rsid w:val="002831B9"/>
    <w:rsid w:val="00283249"/>
    <w:rsid w:val="00283436"/>
    <w:rsid w:val="00283750"/>
    <w:rsid w:val="00283D11"/>
    <w:rsid w:val="0028442D"/>
    <w:rsid w:val="00284445"/>
    <w:rsid w:val="00284A56"/>
    <w:rsid w:val="00284B75"/>
    <w:rsid w:val="002853A8"/>
    <w:rsid w:val="002853C1"/>
    <w:rsid w:val="00285D66"/>
    <w:rsid w:val="00285F94"/>
    <w:rsid w:val="00285F97"/>
    <w:rsid w:val="00285FC2"/>
    <w:rsid w:val="002860AA"/>
    <w:rsid w:val="002862BD"/>
    <w:rsid w:val="0028697B"/>
    <w:rsid w:val="002869C6"/>
    <w:rsid w:val="00286A86"/>
    <w:rsid w:val="00286ACB"/>
    <w:rsid w:val="00287665"/>
    <w:rsid w:val="00287670"/>
    <w:rsid w:val="00287E68"/>
    <w:rsid w:val="00290000"/>
    <w:rsid w:val="00290774"/>
    <w:rsid w:val="00290F4E"/>
    <w:rsid w:val="00291BA2"/>
    <w:rsid w:val="00291E51"/>
    <w:rsid w:val="002925B1"/>
    <w:rsid w:val="002929ED"/>
    <w:rsid w:val="00292CBF"/>
    <w:rsid w:val="00292CD0"/>
    <w:rsid w:val="00293195"/>
    <w:rsid w:val="00293264"/>
    <w:rsid w:val="002932F9"/>
    <w:rsid w:val="00293529"/>
    <w:rsid w:val="002939C0"/>
    <w:rsid w:val="00294044"/>
    <w:rsid w:val="0029522D"/>
    <w:rsid w:val="00295386"/>
    <w:rsid w:val="00295551"/>
    <w:rsid w:val="00295908"/>
    <w:rsid w:val="002959F2"/>
    <w:rsid w:val="00296B76"/>
    <w:rsid w:val="00296D48"/>
    <w:rsid w:val="00297140"/>
    <w:rsid w:val="00297208"/>
    <w:rsid w:val="00297933"/>
    <w:rsid w:val="002979A8"/>
    <w:rsid w:val="002A06E0"/>
    <w:rsid w:val="002A078C"/>
    <w:rsid w:val="002A0A72"/>
    <w:rsid w:val="002A0B83"/>
    <w:rsid w:val="002A0F8A"/>
    <w:rsid w:val="002A11F3"/>
    <w:rsid w:val="002A153F"/>
    <w:rsid w:val="002A163E"/>
    <w:rsid w:val="002A16EA"/>
    <w:rsid w:val="002A1C63"/>
    <w:rsid w:val="002A1EB6"/>
    <w:rsid w:val="002A1F49"/>
    <w:rsid w:val="002A2323"/>
    <w:rsid w:val="002A25EB"/>
    <w:rsid w:val="002A312D"/>
    <w:rsid w:val="002A3182"/>
    <w:rsid w:val="002A32E9"/>
    <w:rsid w:val="002A340C"/>
    <w:rsid w:val="002A3AAE"/>
    <w:rsid w:val="002A3C96"/>
    <w:rsid w:val="002A4FBE"/>
    <w:rsid w:val="002A50BF"/>
    <w:rsid w:val="002A528E"/>
    <w:rsid w:val="002A5BBC"/>
    <w:rsid w:val="002A6012"/>
    <w:rsid w:val="002A61AA"/>
    <w:rsid w:val="002A6396"/>
    <w:rsid w:val="002A7AC0"/>
    <w:rsid w:val="002A7DAD"/>
    <w:rsid w:val="002B001F"/>
    <w:rsid w:val="002B0305"/>
    <w:rsid w:val="002B07A7"/>
    <w:rsid w:val="002B07B7"/>
    <w:rsid w:val="002B084D"/>
    <w:rsid w:val="002B0908"/>
    <w:rsid w:val="002B091B"/>
    <w:rsid w:val="002B0D50"/>
    <w:rsid w:val="002B0E09"/>
    <w:rsid w:val="002B28B2"/>
    <w:rsid w:val="002B294B"/>
    <w:rsid w:val="002B2A2F"/>
    <w:rsid w:val="002B2C62"/>
    <w:rsid w:val="002B2EAD"/>
    <w:rsid w:val="002B33EF"/>
    <w:rsid w:val="002B39EC"/>
    <w:rsid w:val="002B436D"/>
    <w:rsid w:val="002B44C0"/>
    <w:rsid w:val="002B4955"/>
    <w:rsid w:val="002B4971"/>
    <w:rsid w:val="002B4D1F"/>
    <w:rsid w:val="002B52F0"/>
    <w:rsid w:val="002B5F28"/>
    <w:rsid w:val="002B680D"/>
    <w:rsid w:val="002B6BDB"/>
    <w:rsid w:val="002B72FD"/>
    <w:rsid w:val="002B7525"/>
    <w:rsid w:val="002B7A31"/>
    <w:rsid w:val="002B7D81"/>
    <w:rsid w:val="002C02BF"/>
    <w:rsid w:val="002C02DE"/>
    <w:rsid w:val="002C044E"/>
    <w:rsid w:val="002C0475"/>
    <w:rsid w:val="002C04EC"/>
    <w:rsid w:val="002C0AA9"/>
    <w:rsid w:val="002C0AED"/>
    <w:rsid w:val="002C1054"/>
    <w:rsid w:val="002C12E5"/>
    <w:rsid w:val="002C140F"/>
    <w:rsid w:val="002C18C6"/>
    <w:rsid w:val="002C1A50"/>
    <w:rsid w:val="002C1E10"/>
    <w:rsid w:val="002C287F"/>
    <w:rsid w:val="002C2CAB"/>
    <w:rsid w:val="002C313D"/>
    <w:rsid w:val="002C35D4"/>
    <w:rsid w:val="002C377F"/>
    <w:rsid w:val="002C3819"/>
    <w:rsid w:val="002C3A4D"/>
    <w:rsid w:val="002C3B3D"/>
    <w:rsid w:val="002C3DAA"/>
    <w:rsid w:val="002C43D8"/>
    <w:rsid w:val="002C4518"/>
    <w:rsid w:val="002C456C"/>
    <w:rsid w:val="002C4AD5"/>
    <w:rsid w:val="002C4DEB"/>
    <w:rsid w:val="002C4FC7"/>
    <w:rsid w:val="002C556B"/>
    <w:rsid w:val="002C58C6"/>
    <w:rsid w:val="002C5E47"/>
    <w:rsid w:val="002C5EF5"/>
    <w:rsid w:val="002C6324"/>
    <w:rsid w:val="002C63DA"/>
    <w:rsid w:val="002C64B0"/>
    <w:rsid w:val="002C654A"/>
    <w:rsid w:val="002C6D77"/>
    <w:rsid w:val="002C6E03"/>
    <w:rsid w:val="002C7432"/>
    <w:rsid w:val="002C7708"/>
    <w:rsid w:val="002D0736"/>
    <w:rsid w:val="002D077C"/>
    <w:rsid w:val="002D0DF0"/>
    <w:rsid w:val="002D11CA"/>
    <w:rsid w:val="002D1F56"/>
    <w:rsid w:val="002D2503"/>
    <w:rsid w:val="002D2B7E"/>
    <w:rsid w:val="002D2EAB"/>
    <w:rsid w:val="002D2ECA"/>
    <w:rsid w:val="002D2F8F"/>
    <w:rsid w:val="002D30EB"/>
    <w:rsid w:val="002D31ED"/>
    <w:rsid w:val="002D32CD"/>
    <w:rsid w:val="002D32E5"/>
    <w:rsid w:val="002D33AD"/>
    <w:rsid w:val="002D370A"/>
    <w:rsid w:val="002D37F9"/>
    <w:rsid w:val="002D3A44"/>
    <w:rsid w:val="002D3CDF"/>
    <w:rsid w:val="002D3CF1"/>
    <w:rsid w:val="002D3E46"/>
    <w:rsid w:val="002D41AB"/>
    <w:rsid w:val="002D41B5"/>
    <w:rsid w:val="002D41E7"/>
    <w:rsid w:val="002D428D"/>
    <w:rsid w:val="002D4412"/>
    <w:rsid w:val="002D4EC5"/>
    <w:rsid w:val="002D52A9"/>
    <w:rsid w:val="002D55EA"/>
    <w:rsid w:val="002D5923"/>
    <w:rsid w:val="002D5E17"/>
    <w:rsid w:val="002D6071"/>
    <w:rsid w:val="002D63C8"/>
    <w:rsid w:val="002D6581"/>
    <w:rsid w:val="002D683A"/>
    <w:rsid w:val="002D6B04"/>
    <w:rsid w:val="002D6E7D"/>
    <w:rsid w:val="002D6F24"/>
    <w:rsid w:val="002D6F7D"/>
    <w:rsid w:val="002D787A"/>
    <w:rsid w:val="002E059C"/>
    <w:rsid w:val="002E0A16"/>
    <w:rsid w:val="002E0F9A"/>
    <w:rsid w:val="002E13F7"/>
    <w:rsid w:val="002E1784"/>
    <w:rsid w:val="002E17CF"/>
    <w:rsid w:val="002E1826"/>
    <w:rsid w:val="002E1A8D"/>
    <w:rsid w:val="002E1D18"/>
    <w:rsid w:val="002E1DD2"/>
    <w:rsid w:val="002E280D"/>
    <w:rsid w:val="002E2946"/>
    <w:rsid w:val="002E2FD5"/>
    <w:rsid w:val="002E3A76"/>
    <w:rsid w:val="002E3CBD"/>
    <w:rsid w:val="002E438C"/>
    <w:rsid w:val="002E4466"/>
    <w:rsid w:val="002E4606"/>
    <w:rsid w:val="002E4741"/>
    <w:rsid w:val="002E49C8"/>
    <w:rsid w:val="002E4ABE"/>
    <w:rsid w:val="002E4C2B"/>
    <w:rsid w:val="002E52A7"/>
    <w:rsid w:val="002E58CF"/>
    <w:rsid w:val="002E5AAC"/>
    <w:rsid w:val="002E5C5A"/>
    <w:rsid w:val="002E5D34"/>
    <w:rsid w:val="002E609F"/>
    <w:rsid w:val="002E63E4"/>
    <w:rsid w:val="002E64CA"/>
    <w:rsid w:val="002E667D"/>
    <w:rsid w:val="002E6C3E"/>
    <w:rsid w:val="002E6D8E"/>
    <w:rsid w:val="002E6DBF"/>
    <w:rsid w:val="002E6FCA"/>
    <w:rsid w:val="002E727F"/>
    <w:rsid w:val="002E753A"/>
    <w:rsid w:val="002E7C42"/>
    <w:rsid w:val="002F01D6"/>
    <w:rsid w:val="002F0838"/>
    <w:rsid w:val="002F0D02"/>
    <w:rsid w:val="002F18E5"/>
    <w:rsid w:val="002F1923"/>
    <w:rsid w:val="002F1ABB"/>
    <w:rsid w:val="002F1BCC"/>
    <w:rsid w:val="002F1E01"/>
    <w:rsid w:val="002F1F0B"/>
    <w:rsid w:val="002F230C"/>
    <w:rsid w:val="002F246A"/>
    <w:rsid w:val="002F2DE6"/>
    <w:rsid w:val="002F3C53"/>
    <w:rsid w:val="002F437D"/>
    <w:rsid w:val="002F437E"/>
    <w:rsid w:val="002F458E"/>
    <w:rsid w:val="002F462D"/>
    <w:rsid w:val="002F4948"/>
    <w:rsid w:val="002F4999"/>
    <w:rsid w:val="002F4C8B"/>
    <w:rsid w:val="002F4DC9"/>
    <w:rsid w:val="002F4E7F"/>
    <w:rsid w:val="002F540A"/>
    <w:rsid w:val="002F5471"/>
    <w:rsid w:val="002F54D0"/>
    <w:rsid w:val="002F60ED"/>
    <w:rsid w:val="002F6339"/>
    <w:rsid w:val="002F6593"/>
    <w:rsid w:val="002F6989"/>
    <w:rsid w:val="002F717E"/>
    <w:rsid w:val="002F7368"/>
    <w:rsid w:val="002F741A"/>
    <w:rsid w:val="0030039A"/>
    <w:rsid w:val="003009DA"/>
    <w:rsid w:val="00300A01"/>
    <w:rsid w:val="003013DC"/>
    <w:rsid w:val="0030144A"/>
    <w:rsid w:val="0030159D"/>
    <w:rsid w:val="003016C3"/>
    <w:rsid w:val="0030183B"/>
    <w:rsid w:val="00301BB6"/>
    <w:rsid w:val="00301E8D"/>
    <w:rsid w:val="00302A9E"/>
    <w:rsid w:val="00303079"/>
    <w:rsid w:val="00303595"/>
    <w:rsid w:val="003037DD"/>
    <w:rsid w:val="00303C9A"/>
    <w:rsid w:val="00303D3D"/>
    <w:rsid w:val="00303E28"/>
    <w:rsid w:val="00303F2F"/>
    <w:rsid w:val="00304163"/>
    <w:rsid w:val="003044D4"/>
    <w:rsid w:val="0030517E"/>
    <w:rsid w:val="003054B7"/>
    <w:rsid w:val="00305D9F"/>
    <w:rsid w:val="0030618A"/>
    <w:rsid w:val="003063AF"/>
    <w:rsid w:val="00306862"/>
    <w:rsid w:val="0030699F"/>
    <w:rsid w:val="00306D39"/>
    <w:rsid w:val="0030706E"/>
    <w:rsid w:val="00307CB0"/>
    <w:rsid w:val="003102D4"/>
    <w:rsid w:val="0031068D"/>
    <w:rsid w:val="00310B02"/>
    <w:rsid w:val="00310C31"/>
    <w:rsid w:val="00310E93"/>
    <w:rsid w:val="00311EEC"/>
    <w:rsid w:val="00312028"/>
    <w:rsid w:val="0031207A"/>
    <w:rsid w:val="003126A7"/>
    <w:rsid w:val="003128C7"/>
    <w:rsid w:val="00312E8F"/>
    <w:rsid w:val="0031301B"/>
    <w:rsid w:val="003130CE"/>
    <w:rsid w:val="003137A1"/>
    <w:rsid w:val="00313BD4"/>
    <w:rsid w:val="00313C95"/>
    <w:rsid w:val="00314110"/>
    <w:rsid w:val="00314349"/>
    <w:rsid w:val="003143D0"/>
    <w:rsid w:val="003148B6"/>
    <w:rsid w:val="00315062"/>
    <w:rsid w:val="003153A9"/>
    <w:rsid w:val="0031543E"/>
    <w:rsid w:val="00315D87"/>
    <w:rsid w:val="00315E09"/>
    <w:rsid w:val="00315F2B"/>
    <w:rsid w:val="003162BD"/>
    <w:rsid w:val="003164D3"/>
    <w:rsid w:val="003166AD"/>
    <w:rsid w:val="00316773"/>
    <w:rsid w:val="00316A23"/>
    <w:rsid w:val="00316F00"/>
    <w:rsid w:val="0031715F"/>
    <w:rsid w:val="00317A38"/>
    <w:rsid w:val="0032018B"/>
    <w:rsid w:val="003202FE"/>
    <w:rsid w:val="00320628"/>
    <w:rsid w:val="00320786"/>
    <w:rsid w:val="003211E2"/>
    <w:rsid w:val="00321228"/>
    <w:rsid w:val="00321384"/>
    <w:rsid w:val="00321991"/>
    <w:rsid w:val="0032213A"/>
    <w:rsid w:val="003222A6"/>
    <w:rsid w:val="003226B0"/>
    <w:rsid w:val="00322AD9"/>
    <w:rsid w:val="00322C9C"/>
    <w:rsid w:val="00322D9B"/>
    <w:rsid w:val="00322EB7"/>
    <w:rsid w:val="00322F85"/>
    <w:rsid w:val="003230C9"/>
    <w:rsid w:val="003239EA"/>
    <w:rsid w:val="003241EE"/>
    <w:rsid w:val="00324284"/>
    <w:rsid w:val="003246A4"/>
    <w:rsid w:val="00324E0D"/>
    <w:rsid w:val="003253C6"/>
    <w:rsid w:val="00325949"/>
    <w:rsid w:val="00325D6C"/>
    <w:rsid w:val="00326AC9"/>
    <w:rsid w:val="00326E74"/>
    <w:rsid w:val="00326F44"/>
    <w:rsid w:val="003277B0"/>
    <w:rsid w:val="00327977"/>
    <w:rsid w:val="003305DF"/>
    <w:rsid w:val="003308D9"/>
    <w:rsid w:val="00330DD6"/>
    <w:rsid w:val="00330F00"/>
    <w:rsid w:val="00331A1A"/>
    <w:rsid w:val="00331BF2"/>
    <w:rsid w:val="00332FE5"/>
    <w:rsid w:val="003332D6"/>
    <w:rsid w:val="00333AED"/>
    <w:rsid w:val="00333CB9"/>
    <w:rsid w:val="00333D7B"/>
    <w:rsid w:val="00333E9C"/>
    <w:rsid w:val="00334795"/>
    <w:rsid w:val="003348A9"/>
    <w:rsid w:val="00334BAB"/>
    <w:rsid w:val="00334C28"/>
    <w:rsid w:val="00334E7A"/>
    <w:rsid w:val="00334F4F"/>
    <w:rsid w:val="00335075"/>
    <w:rsid w:val="00335384"/>
    <w:rsid w:val="00335AC8"/>
    <w:rsid w:val="00335BE1"/>
    <w:rsid w:val="00335CCB"/>
    <w:rsid w:val="00335D12"/>
    <w:rsid w:val="00335E88"/>
    <w:rsid w:val="00335FFA"/>
    <w:rsid w:val="003360DA"/>
    <w:rsid w:val="00336273"/>
    <w:rsid w:val="003362E2"/>
    <w:rsid w:val="00336405"/>
    <w:rsid w:val="0033671D"/>
    <w:rsid w:val="00336908"/>
    <w:rsid w:val="00337320"/>
    <w:rsid w:val="0033742B"/>
    <w:rsid w:val="00337C9C"/>
    <w:rsid w:val="0034021D"/>
    <w:rsid w:val="0034058A"/>
    <w:rsid w:val="003405D9"/>
    <w:rsid w:val="00340DDF"/>
    <w:rsid w:val="00340DEF"/>
    <w:rsid w:val="00341630"/>
    <w:rsid w:val="00341815"/>
    <w:rsid w:val="00341823"/>
    <w:rsid w:val="00341DB4"/>
    <w:rsid w:val="00341E96"/>
    <w:rsid w:val="003420AF"/>
    <w:rsid w:val="00342948"/>
    <w:rsid w:val="00342B2D"/>
    <w:rsid w:val="003432B4"/>
    <w:rsid w:val="00343339"/>
    <w:rsid w:val="0034338C"/>
    <w:rsid w:val="003433D1"/>
    <w:rsid w:val="003437BD"/>
    <w:rsid w:val="00344471"/>
    <w:rsid w:val="003444B3"/>
    <w:rsid w:val="003445E9"/>
    <w:rsid w:val="00344629"/>
    <w:rsid w:val="00344907"/>
    <w:rsid w:val="0034499A"/>
    <w:rsid w:val="00344AA8"/>
    <w:rsid w:val="00344B45"/>
    <w:rsid w:val="00344CC2"/>
    <w:rsid w:val="00344EBC"/>
    <w:rsid w:val="00345091"/>
    <w:rsid w:val="00345371"/>
    <w:rsid w:val="0034548E"/>
    <w:rsid w:val="00345849"/>
    <w:rsid w:val="00345C25"/>
    <w:rsid w:val="00345EB4"/>
    <w:rsid w:val="0034613A"/>
    <w:rsid w:val="0034675A"/>
    <w:rsid w:val="003468F5"/>
    <w:rsid w:val="00346DB4"/>
    <w:rsid w:val="00347793"/>
    <w:rsid w:val="00347951"/>
    <w:rsid w:val="0034796A"/>
    <w:rsid w:val="00350395"/>
    <w:rsid w:val="003504B6"/>
    <w:rsid w:val="003507A3"/>
    <w:rsid w:val="0035087A"/>
    <w:rsid w:val="00350CB5"/>
    <w:rsid w:val="00351724"/>
    <w:rsid w:val="00351737"/>
    <w:rsid w:val="00351E92"/>
    <w:rsid w:val="00351FCA"/>
    <w:rsid w:val="00352A7E"/>
    <w:rsid w:val="00353D80"/>
    <w:rsid w:val="00353E87"/>
    <w:rsid w:val="003541D1"/>
    <w:rsid w:val="00354D45"/>
    <w:rsid w:val="00355AB4"/>
    <w:rsid w:val="0035608F"/>
    <w:rsid w:val="00356156"/>
    <w:rsid w:val="00356835"/>
    <w:rsid w:val="00356B22"/>
    <w:rsid w:val="00356CB9"/>
    <w:rsid w:val="00356ECE"/>
    <w:rsid w:val="003571F7"/>
    <w:rsid w:val="0035735D"/>
    <w:rsid w:val="003573C5"/>
    <w:rsid w:val="003574B7"/>
    <w:rsid w:val="00357ACA"/>
    <w:rsid w:val="003600F9"/>
    <w:rsid w:val="00360134"/>
    <w:rsid w:val="003607B9"/>
    <w:rsid w:val="0036083F"/>
    <w:rsid w:val="00360B47"/>
    <w:rsid w:val="00360EDA"/>
    <w:rsid w:val="00361175"/>
    <w:rsid w:val="00361954"/>
    <w:rsid w:val="003619D6"/>
    <w:rsid w:val="00361ED6"/>
    <w:rsid w:val="00361FA1"/>
    <w:rsid w:val="0036217B"/>
    <w:rsid w:val="003625B1"/>
    <w:rsid w:val="00362ADD"/>
    <w:rsid w:val="00362D12"/>
    <w:rsid w:val="00362DDE"/>
    <w:rsid w:val="00363003"/>
    <w:rsid w:val="00363639"/>
    <w:rsid w:val="003638CC"/>
    <w:rsid w:val="00363F5B"/>
    <w:rsid w:val="003644D0"/>
    <w:rsid w:val="0036478A"/>
    <w:rsid w:val="00365264"/>
    <w:rsid w:val="00365355"/>
    <w:rsid w:val="00365EB0"/>
    <w:rsid w:val="0036609C"/>
    <w:rsid w:val="0036614C"/>
    <w:rsid w:val="0036642A"/>
    <w:rsid w:val="003664F2"/>
    <w:rsid w:val="003667CC"/>
    <w:rsid w:val="00366911"/>
    <w:rsid w:val="00366BE2"/>
    <w:rsid w:val="00367178"/>
    <w:rsid w:val="00367D61"/>
    <w:rsid w:val="0037004F"/>
    <w:rsid w:val="003702A3"/>
    <w:rsid w:val="003703B1"/>
    <w:rsid w:val="00370694"/>
    <w:rsid w:val="00370746"/>
    <w:rsid w:val="00371D8E"/>
    <w:rsid w:val="00371ED3"/>
    <w:rsid w:val="00372229"/>
    <w:rsid w:val="003726F1"/>
    <w:rsid w:val="00372D0D"/>
    <w:rsid w:val="00372ED8"/>
    <w:rsid w:val="0037317A"/>
    <w:rsid w:val="0037318B"/>
    <w:rsid w:val="003733CD"/>
    <w:rsid w:val="003733DE"/>
    <w:rsid w:val="0037372F"/>
    <w:rsid w:val="003737E0"/>
    <w:rsid w:val="003737E6"/>
    <w:rsid w:val="003738C7"/>
    <w:rsid w:val="00373C04"/>
    <w:rsid w:val="003741A8"/>
    <w:rsid w:val="0037427B"/>
    <w:rsid w:val="003742F8"/>
    <w:rsid w:val="003743B3"/>
    <w:rsid w:val="003747B6"/>
    <w:rsid w:val="00374938"/>
    <w:rsid w:val="00374FDB"/>
    <w:rsid w:val="003755E6"/>
    <w:rsid w:val="0037564F"/>
    <w:rsid w:val="00375672"/>
    <w:rsid w:val="003759A9"/>
    <w:rsid w:val="00375EFB"/>
    <w:rsid w:val="00375F32"/>
    <w:rsid w:val="00375F45"/>
    <w:rsid w:val="00376153"/>
    <w:rsid w:val="003769F8"/>
    <w:rsid w:val="00376B81"/>
    <w:rsid w:val="00376C3D"/>
    <w:rsid w:val="00376D25"/>
    <w:rsid w:val="00376F78"/>
    <w:rsid w:val="003771C7"/>
    <w:rsid w:val="00377E94"/>
    <w:rsid w:val="0038005C"/>
    <w:rsid w:val="00380075"/>
    <w:rsid w:val="0038060D"/>
    <w:rsid w:val="003808EA"/>
    <w:rsid w:val="00380D45"/>
    <w:rsid w:val="00380D46"/>
    <w:rsid w:val="00381F8E"/>
    <w:rsid w:val="003825D7"/>
    <w:rsid w:val="00382BDE"/>
    <w:rsid w:val="00382CD8"/>
    <w:rsid w:val="00382DC1"/>
    <w:rsid w:val="00382EE6"/>
    <w:rsid w:val="003831E5"/>
    <w:rsid w:val="0038374A"/>
    <w:rsid w:val="00383F1E"/>
    <w:rsid w:val="00384280"/>
    <w:rsid w:val="003842C7"/>
    <w:rsid w:val="00384305"/>
    <w:rsid w:val="003843DF"/>
    <w:rsid w:val="003845B0"/>
    <w:rsid w:val="0038481F"/>
    <w:rsid w:val="00384C38"/>
    <w:rsid w:val="00384CB8"/>
    <w:rsid w:val="003851CA"/>
    <w:rsid w:val="00385322"/>
    <w:rsid w:val="00385471"/>
    <w:rsid w:val="00385921"/>
    <w:rsid w:val="00385E5F"/>
    <w:rsid w:val="00385F87"/>
    <w:rsid w:val="003864F3"/>
    <w:rsid w:val="0038654D"/>
    <w:rsid w:val="0038660C"/>
    <w:rsid w:val="00386F2B"/>
    <w:rsid w:val="00387B3A"/>
    <w:rsid w:val="00387EE6"/>
    <w:rsid w:val="00390511"/>
    <w:rsid w:val="00390C7E"/>
    <w:rsid w:val="00390ED1"/>
    <w:rsid w:val="00391860"/>
    <w:rsid w:val="00391F35"/>
    <w:rsid w:val="00392959"/>
    <w:rsid w:val="003929BF"/>
    <w:rsid w:val="00392C49"/>
    <w:rsid w:val="0039359C"/>
    <w:rsid w:val="003937CA"/>
    <w:rsid w:val="003947C2"/>
    <w:rsid w:val="003948DD"/>
    <w:rsid w:val="00395155"/>
    <w:rsid w:val="00395574"/>
    <w:rsid w:val="00395760"/>
    <w:rsid w:val="0039599A"/>
    <w:rsid w:val="00395D21"/>
    <w:rsid w:val="00395D23"/>
    <w:rsid w:val="00396149"/>
    <w:rsid w:val="0039639B"/>
    <w:rsid w:val="003964CB"/>
    <w:rsid w:val="00396A15"/>
    <w:rsid w:val="003970B0"/>
    <w:rsid w:val="003974F4"/>
    <w:rsid w:val="00397599"/>
    <w:rsid w:val="00397820"/>
    <w:rsid w:val="00397FB0"/>
    <w:rsid w:val="00397FBF"/>
    <w:rsid w:val="003A0022"/>
    <w:rsid w:val="003A0877"/>
    <w:rsid w:val="003A12DB"/>
    <w:rsid w:val="003A1312"/>
    <w:rsid w:val="003A1AAB"/>
    <w:rsid w:val="003A1ADB"/>
    <w:rsid w:val="003A1BCF"/>
    <w:rsid w:val="003A1C7C"/>
    <w:rsid w:val="003A1D95"/>
    <w:rsid w:val="003A1D99"/>
    <w:rsid w:val="003A1E49"/>
    <w:rsid w:val="003A28E8"/>
    <w:rsid w:val="003A2C59"/>
    <w:rsid w:val="003A2D7C"/>
    <w:rsid w:val="003A3134"/>
    <w:rsid w:val="003A3372"/>
    <w:rsid w:val="003A35E2"/>
    <w:rsid w:val="003A38C2"/>
    <w:rsid w:val="003A3B54"/>
    <w:rsid w:val="003A3E3A"/>
    <w:rsid w:val="003A4068"/>
    <w:rsid w:val="003A6362"/>
    <w:rsid w:val="003A651C"/>
    <w:rsid w:val="003A6746"/>
    <w:rsid w:val="003A6C2D"/>
    <w:rsid w:val="003A6DBD"/>
    <w:rsid w:val="003A72DE"/>
    <w:rsid w:val="003A7305"/>
    <w:rsid w:val="003A74B6"/>
    <w:rsid w:val="003A79CC"/>
    <w:rsid w:val="003A7D4C"/>
    <w:rsid w:val="003B0022"/>
    <w:rsid w:val="003B03C3"/>
    <w:rsid w:val="003B11E7"/>
    <w:rsid w:val="003B15BD"/>
    <w:rsid w:val="003B1ABA"/>
    <w:rsid w:val="003B1BA0"/>
    <w:rsid w:val="003B1CE7"/>
    <w:rsid w:val="003B2271"/>
    <w:rsid w:val="003B3953"/>
    <w:rsid w:val="003B3C54"/>
    <w:rsid w:val="003B3FC4"/>
    <w:rsid w:val="003B3FFC"/>
    <w:rsid w:val="003B4A12"/>
    <w:rsid w:val="003B4CB9"/>
    <w:rsid w:val="003B4EF1"/>
    <w:rsid w:val="003B5659"/>
    <w:rsid w:val="003B5A88"/>
    <w:rsid w:val="003B5CED"/>
    <w:rsid w:val="003B5CEE"/>
    <w:rsid w:val="003B5F2D"/>
    <w:rsid w:val="003B6166"/>
    <w:rsid w:val="003B64F7"/>
    <w:rsid w:val="003B7259"/>
    <w:rsid w:val="003B780E"/>
    <w:rsid w:val="003B790A"/>
    <w:rsid w:val="003B7EE9"/>
    <w:rsid w:val="003C02F7"/>
    <w:rsid w:val="003C0842"/>
    <w:rsid w:val="003C0AF9"/>
    <w:rsid w:val="003C0BBA"/>
    <w:rsid w:val="003C150E"/>
    <w:rsid w:val="003C1B55"/>
    <w:rsid w:val="003C2312"/>
    <w:rsid w:val="003C2727"/>
    <w:rsid w:val="003C2D9A"/>
    <w:rsid w:val="003C3462"/>
    <w:rsid w:val="003C388D"/>
    <w:rsid w:val="003C3CA5"/>
    <w:rsid w:val="003C3E9F"/>
    <w:rsid w:val="003C4481"/>
    <w:rsid w:val="003C4680"/>
    <w:rsid w:val="003C4DC1"/>
    <w:rsid w:val="003C508D"/>
    <w:rsid w:val="003C52A9"/>
    <w:rsid w:val="003C52B9"/>
    <w:rsid w:val="003C5661"/>
    <w:rsid w:val="003C59A5"/>
    <w:rsid w:val="003C5A4D"/>
    <w:rsid w:val="003C5F93"/>
    <w:rsid w:val="003C67C6"/>
    <w:rsid w:val="003C7AE8"/>
    <w:rsid w:val="003C7CD2"/>
    <w:rsid w:val="003D0FC5"/>
    <w:rsid w:val="003D1052"/>
    <w:rsid w:val="003D186C"/>
    <w:rsid w:val="003D194D"/>
    <w:rsid w:val="003D19E0"/>
    <w:rsid w:val="003D20F1"/>
    <w:rsid w:val="003D2339"/>
    <w:rsid w:val="003D29E2"/>
    <w:rsid w:val="003D2AB4"/>
    <w:rsid w:val="003D2B65"/>
    <w:rsid w:val="003D2B90"/>
    <w:rsid w:val="003D2C97"/>
    <w:rsid w:val="003D2FAE"/>
    <w:rsid w:val="003D322A"/>
    <w:rsid w:val="003D3836"/>
    <w:rsid w:val="003D3951"/>
    <w:rsid w:val="003D3B91"/>
    <w:rsid w:val="003D3C73"/>
    <w:rsid w:val="003D4308"/>
    <w:rsid w:val="003D48B9"/>
    <w:rsid w:val="003D5382"/>
    <w:rsid w:val="003D5854"/>
    <w:rsid w:val="003D62A3"/>
    <w:rsid w:val="003D63F0"/>
    <w:rsid w:val="003D641A"/>
    <w:rsid w:val="003D648A"/>
    <w:rsid w:val="003D680B"/>
    <w:rsid w:val="003D710B"/>
    <w:rsid w:val="003D7822"/>
    <w:rsid w:val="003D7F47"/>
    <w:rsid w:val="003E038E"/>
    <w:rsid w:val="003E0942"/>
    <w:rsid w:val="003E0A72"/>
    <w:rsid w:val="003E0BF3"/>
    <w:rsid w:val="003E0E50"/>
    <w:rsid w:val="003E0EC4"/>
    <w:rsid w:val="003E1A73"/>
    <w:rsid w:val="003E1DD3"/>
    <w:rsid w:val="003E1EED"/>
    <w:rsid w:val="003E1FBB"/>
    <w:rsid w:val="003E21A7"/>
    <w:rsid w:val="003E2525"/>
    <w:rsid w:val="003E2721"/>
    <w:rsid w:val="003E2D10"/>
    <w:rsid w:val="003E2E11"/>
    <w:rsid w:val="003E336B"/>
    <w:rsid w:val="003E3561"/>
    <w:rsid w:val="003E38D1"/>
    <w:rsid w:val="003E3A28"/>
    <w:rsid w:val="003E3CEC"/>
    <w:rsid w:val="003E3D05"/>
    <w:rsid w:val="003E4174"/>
    <w:rsid w:val="003E42D9"/>
    <w:rsid w:val="003E4B27"/>
    <w:rsid w:val="003E4F5E"/>
    <w:rsid w:val="003E5055"/>
    <w:rsid w:val="003E59B8"/>
    <w:rsid w:val="003E61AB"/>
    <w:rsid w:val="003E6872"/>
    <w:rsid w:val="003E701A"/>
    <w:rsid w:val="003E71A4"/>
    <w:rsid w:val="003E72DE"/>
    <w:rsid w:val="003E7733"/>
    <w:rsid w:val="003E799D"/>
    <w:rsid w:val="003E7D47"/>
    <w:rsid w:val="003E7D9A"/>
    <w:rsid w:val="003F02E2"/>
    <w:rsid w:val="003F0539"/>
    <w:rsid w:val="003F06C9"/>
    <w:rsid w:val="003F098C"/>
    <w:rsid w:val="003F0AB6"/>
    <w:rsid w:val="003F17BD"/>
    <w:rsid w:val="003F1F3C"/>
    <w:rsid w:val="003F3E67"/>
    <w:rsid w:val="003F416E"/>
    <w:rsid w:val="003F4184"/>
    <w:rsid w:val="003F438B"/>
    <w:rsid w:val="003F4782"/>
    <w:rsid w:val="003F54C4"/>
    <w:rsid w:val="003F5ECF"/>
    <w:rsid w:val="003F6426"/>
    <w:rsid w:val="003F68DB"/>
    <w:rsid w:val="003F6A72"/>
    <w:rsid w:val="003F73A1"/>
    <w:rsid w:val="003F761A"/>
    <w:rsid w:val="003F78F6"/>
    <w:rsid w:val="003F7B87"/>
    <w:rsid w:val="003F7BF2"/>
    <w:rsid w:val="0040010E"/>
    <w:rsid w:val="004008D6"/>
    <w:rsid w:val="00400F17"/>
    <w:rsid w:val="0040112A"/>
    <w:rsid w:val="00401B8E"/>
    <w:rsid w:val="00401C02"/>
    <w:rsid w:val="00401C8F"/>
    <w:rsid w:val="00401E58"/>
    <w:rsid w:val="0040367E"/>
    <w:rsid w:val="00403EF9"/>
    <w:rsid w:val="004040DE"/>
    <w:rsid w:val="004049CB"/>
    <w:rsid w:val="00404C2D"/>
    <w:rsid w:val="00404D95"/>
    <w:rsid w:val="00405221"/>
    <w:rsid w:val="0040563A"/>
    <w:rsid w:val="00405B8B"/>
    <w:rsid w:val="00405BF9"/>
    <w:rsid w:val="004061D1"/>
    <w:rsid w:val="00406372"/>
    <w:rsid w:val="004066F1"/>
    <w:rsid w:val="00406D3C"/>
    <w:rsid w:val="004075A2"/>
    <w:rsid w:val="00407BED"/>
    <w:rsid w:val="00407C62"/>
    <w:rsid w:val="00407D0D"/>
    <w:rsid w:val="004104F8"/>
    <w:rsid w:val="00410565"/>
    <w:rsid w:val="00410625"/>
    <w:rsid w:val="00411432"/>
    <w:rsid w:val="00411497"/>
    <w:rsid w:val="00411BFA"/>
    <w:rsid w:val="004120CC"/>
    <w:rsid w:val="004121CD"/>
    <w:rsid w:val="004129F2"/>
    <w:rsid w:val="00412CC6"/>
    <w:rsid w:val="004133BF"/>
    <w:rsid w:val="00413460"/>
    <w:rsid w:val="004136DD"/>
    <w:rsid w:val="0041379C"/>
    <w:rsid w:val="00413D45"/>
    <w:rsid w:val="0041426C"/>
    <w:rsid w:val="00414698"/>
    <w:rsid w:val="00414AA9"/>
    <w:rsid w:val="00414F17"/>
    <w:rsid w:val="00414FB3"/>
    <w:rsid w:val="004153C5"/>
    <w:rsid w:val="004155BF"/>
    <w:rsid w:val="0041566F"/>
    <w:rsid w:val="00415D07"/>
    <w:rsid w:val="00415D1E"/>
    <w:rsid w:val="00416277"/>
    <w:rsid w:val="0041661E"/>
    <w:rsid w:val="00416840"/>
    <w:rsid w:val="00416C1D"/>
    <w:rsid w:val="00416C8F"/>
    <w:rsid w:val="0041747F"/>
    <w:rsid w:val="004175A1"/>
    <w:rsid w:val="00417819"/>
    <w:rsid w:val="00417873"/>
    <w:rsid w:val="00417ABA"/>
    <w:rsid w:val="00417CAD"/>
    <w:rsid w:val="0042051C"/>
    <w:rsid w:val="0042056C"/>
    <w:rsid w:val="0042069B"/>
    <w:rsid w:val="00420E5D"/>
    <w:rsid w:val="00421038"/>
    <w:rsid w:val="00421511"/>
    <w:rsid w:val="00421964"/>
    <w:rsid w:val="00421995"/>
    <w:rsid w:val="004219C3"/>
    <w:rsid w:val="00421A48"/>
    <w:rsid w:val="00422824"/>
    <w:rsid w:val="00422A9A"/>
    <w:rsid w:val="00422FA2"/>
    <w:rsid w:val="00423057"/>
    <w:rsid w:val="004233F5"/>
    <w:rsid w:val="00423F30"/>
    <w:rsid w:val="0042404A"/>
    <w:rsid w:val="0042461A"/>
    <w:rsid w:val="0042478E"/>
    <w:rsid w:val="00425134"/>
    <w:rsid w:val="0042566B"/>
    <w:rsid w:val="00425A04"/>
    <w:rsid w:val="00425A9F"/>
    <w:rsid w:val="00426166"/>
    <w:rsid w:val="00426BB1"/>
    <w:rsid w:val="00426D04"/>
    <w:rsid w:val="004278B7"/>
    <w:rsid w:val="00427B91"/>
    <w:rsid w:val="004309F8"/>
    <w:rsid w:val="00430A9F"/>
    <w:rsid w:val="00430C29"/>
    <w:rsid w:val="00430E1F"/>
    <w:rsid w:val="00430E20"/>
    <w:rsid w:val="00430F1E"/>
    <w:rsid w:val="00430FE8"/>
    <w:rsid w:val="00431276"/>
    <w:rsid w:val="004312A9"/>
    <w:rsid w:val="004315FB"/>
    <w:rsid w:val="0043168C"/>
    <w:rsid w:val="00431BBC"/>
    <w:rsid w:val="00431E72"/>
    <w:rsid w:val="00432201"/>
    <w:rsid w:val="004329EE"/>
    <w:rsid w:val="00432A88"/>
    <w:rsid w:val="00432FDE"/>
    <w:rsid w:val="00433906"/>
    <w:rsid w:val="00433B1A"/>
    <w:rsid w:val="00433B2F"/>
    <w:rsid w:val="004343C3"/>
    <w:rsid w:val="004344D0"/>
    <w:rsid w:val="004344FA"/>
    <w:rsid w:val="00434729"/>
    <w:rsid w:val="00434989"/>
    <w:rsid w:val="004352FF"/>
    <w:rsid w:val="00435366"/>
    <w:rsid w:val="00436BC4"/>
    <w:rsid w:val="00437649"/>
    <w:rsid w:val="00437787"/>
    <w:rsid w:val="0043788C"/>
    <w:rsid w:val="00437BF1"/>
    <w:rsid w:val="00437C31"/>
    <w:rsid w:val="0044141E"/>
    <w:rsid w:val="004417AB"/>
    <w:rsid w:val="00441F75"/>
    <w:rsid w:val="004421AD"/>
    <w:rsid w:val="00442319"/>
    <w:rsid w:val="0044275B"/>
    <w:rsid w:val="00442930"/>
    <w:rsid w:val="004429EC"/>
    <w:rsid w:val="004435BB"/>
    <w:rsid w:val="00443968"/>
    <w:rsid w:val="00443AA3"/>
    <w:rsid w:val="004443B3"/>
    <w:rsid w:val="0044458C"/>
    <w:rsid w:val="00444BE8"/>
    <w:rsid w:val="00444E10"/>
    <w:rsid w:val="004450FF"/>
    <w:rsid w:val="0044574B"/>
    <w:rsid w:val="0044581F"/>
    <w:rsid w:val="004459A5"/>
    <w:rsid w:val="004464B7"/>
    <w:rsid w:val="00447BBA"/>
    <w:rsid w:val="00450208"/>
    <w:rsid w:val="00450268"/>
    <w:rsid w:val="0045042F"/>
    <w:rsid w:val="004504BE"/>
    <w:rsid w:val="004505B5"/>
    <w:rsid w:val="004507D0"/>
    <w:rsid w:val="00450C79"/>
    <w:rsid w:val="00450FCF"/>
    <w:rsid w:val="00451312"/>
    <w:rsid w:val="004516C1"/>
    <w:rsid w:val="00452300"/>
    <w:rsid w:val="00452365"/>
    <w:rsid w:val="0045298B"/>
    <w:rsid w:val="00452DD7"/>
    <w:rsid w:val="00452E1B"/>
    <w:rsid w:val="00453343"/>
    <w:rsid w:val="00453862"/>
    <w:rsid w:val="004538E8"/>
    <w:rsid w:val="00453ABE"/>
    <w:rsid w:val="00453BF9"/>
    <w:rsid w:val="00454058"/>
    <w:rsid w:val="00454158"/>
    <w:rsid w:val="00454BD9"/>
    <w:rsid w:val="00455919"/>
    <w:rsid w:val="004559A6"/>
    <w:rsid w:val="00455DD3"/>
    <w:rsid w:val="00455FBF"/>
    <w:rsid w:val="00456126"/>
    <w:rsid w:val="00456147"/>
    <w:rsid w:val="0045632E"/>
    <w:rsid w:val="0045642F"/>
    <w:rsid w:val="00456DF2"/>
    <w:rsid w:val="00456E7D"/>
    <w:rsid w:val="00460095"/>
    <w:rsid w:val="00460229"/>
    <w:rsid w:val="00460575"/>
    <w:rsid w:val="00460AD8"/>
    <w:rsid w:val="00460B1C"/>
    <w:rsid w:val="00460EA1"/>
    <w:rsid w:val="00460FE5"/>
    <w:rsid w:val="004612BB"/>
    <w:rsid w:val="004614A3"/>
    <w:rsid w:val="00461AB6"/>
    <w:rsid w:val="00461D64"/>
    <w:rsid w:val="00462172"/>
    <w:rsid w:val="00462695"/>
    <w:rsid w:val="004627B2"/>
    <w:rsid w:val="00462B1C"/>
    <w:rsid w:val="00462C98"/>
    <w:rsid w:val="004636C0"/>
    <w:rsid w:val="00463B29"/>
    <w:rsid w:val="0046428D"/>
    <w:rsid w:val="004642E6"/>
    <w:rsid w:val="0046485F"/>
    <w:rsid w:val="0046498B"/>
    <w:rsid w:val="004649FD"/>
    <w:rsid w:val="004654C6"/>
    <w:rsid w:val="00465E98"/>
    <w:rsid w:val="00465EC5"/>
    <w:rsid w:val="00465F78"/>
    <w:rsid w:val="00466086"/>
    <w:rsid w:val="0046612F"/>
    <w:rsid w:val="00466345"/>
    <w:rsid w:val="00466581"/>
    <w:rsid w:val="0046686C"/>
    <w:rsid w:val="00467104"/>
    <w:rsid w:val="004673A0"/>
    <w:rsid w:val="00467542"/>
    <w:rsid w:val="004675C2"/>
    <w:rsid w:val="00467676"/>
    <w:rsid w:val="004700F0"/>
    <w:rsid w:val="004710D7"/>
    <w:rsid w:val="00471534"/>
    <w:rsid w:val="0047230C"/>
    <w:rsid w:val="00472765"/>
    <w:rsid w:val="00473089"/>
    <w:rsid w:val="0047326E"/>
    <w:rsid w:val="00473414"/>
    <w:rsid w:val="004742E7"/>
    <w:rsid w:val="0047438F"/>
    <w:rsid w:val="004743B4"/>
    <w:rsid w:val="00474465"/>
    <w:rsid w:val="00474780"/>
    <w:rsid w:val="00474994"/>
    <w:rsid w:val="00474BA6"/>
    <w:rsid w:val="00474F6C"/>
    <w:rsid w:val="004751B4"/>
    <w:rsid w:val="0047541E"/>
    <w:rsid w:val="004755B4"/>
    <w:rsid w:val="004756BB"/>
    <w:rsid w:val="0047570A"/>
    <w:rsid w:val="00475CD8"/>
    <w:rsid w:val="00476017"/>
    <w:rsid w:val="00476154"/>
    <w:rsid w:val="004762DB"/>
    <w:rsid w:val="0047660F"/>
    <w:rsid w:val="00476746"/>
    <w:rsid w:val="0047711F"/>
    <w:rsid w:val="00477225"/>
    <w:rsid w:val="00477BE9"/>
    <w:rsid w:val="00477D62"/>
    <w:rsid w:val="00477D81"/>
    <w:rsid w:val="00480093"/>
    <w:rsid w:val="00480176"/>
    <w:rsid w:val="00480180"/>
    <w:rsid w:val="004802A9"/>
    <w:rsid w:val="00480313"/>
    <w:rsid w:val="004804E0"/>
    <w:rsid w:val="0048055E"/>
    <w:rsid w:val="00480CE1"/>
    <w:rsid w:val="0048124A"/>
    <w:rsid w:val="004816C5"/>
    <w:rsid w:val="004823E2"/>
    <w:rsid w:val="00482437"/>
    <w:rsid w:val="004839B6"/>
    <w:rsid w:val="00483BD7"/>
    <w:rsid w:val="00484363"/>
    <w:rsid w:val="0048464C"/>
    <w:rsid w:val="00484A97"/>
    <w:rsid w:val="00484AAB"/>
    <w:rsid w:val="0048500A"/>
    <w:rsid w:val="004851E5"/>
    <w:rsid w:val="004854CB"/>
    <w:rsid w:val="00485712"/>
    <w:rsid w:val="004858CC"/>
    <w:rsid w:val="004859D5"/>
    <w:rsid w:val="0048768A"/>
    <w:rsid w:val="004876AB"/>
    <w:rsid w:val="0048792A"/>
    <w:rsid w:val="00487FE9"/>
    <w:rsid w:val="004905B1"/>
    <w:rsid w:val="004906BF"/>
    <w:rsid w:val="00490AE4"/>
    <w:rsid w:val="00491199"/>
    <w:rsid w:val="00491216"/>
    <w:rsid w:val="0049132A"/>
    <w:rsid w:val="0049198C"/>
    <w:rsid w:val="00491C9E"/>
    <w:rsid w:val="00491DFC"/>
    <w:rsid w:val="00491E8D"/>
    <w:rsid w:val="00491F23"/>
    <w:rsid w:val="004921E6"/>
    <w:rsid w:val="00492205"/>
    <w:rsid w:val="0049263A"/>
    <w:rsid w:val="004930DD"/>
    <w:rsid w:val="00493731"/>
    <w:rsid w:val="00494C54"/>
    <w:rsid w:val="00494ED3"/>
    <w:rsid w:val="00495399"/>
    <w:rsid w:val="0049584D"/>
    <w:rsid w:val="00495901"/>
    <w:rsid w:val="00495E01"/>
    <w:rsid w:val="00495F5E"/>
    <w:rsid w:val="00496736"/>
    <w:rsid w:val="00497F3D"/>
    <w:rsid w:val="004A062E"/>
    <w:rsid w:val="004A0666"/>
    <w:rsid w:val="004A0845"/>
    <w:rsid w:val="004A0F31"/>
    <w:rsid w:val="004A0FBF"/>
    <w:rsid w:val="004A144F"/>
    <w:rsid w:val="004A180C"/>
    <w:rsid w:val="004A1D5F"/>
    <w:rsid w:val="004A1DFB"/>
    <w:rsid w:val="004A224F"/>
    <w:rsid w:val="004A251B"/>
    <w:rsid w:val="004A26B7"/>
    <w:rsid w:val="004A2991"/>
    <w:rsid w:val="004A2DC0"/>
    <w:rsid w:val="004A31F3"/>
    <w:rsid w:val="004A3357"/>
    <w:rsid w:val="004A33DC"/>
    <w:rsid w:val="004A3CA0"/>
    <w:rsid w:val="004A464C"/>
    <w:rsid w:val="004A4665"/>
    <w:rsid w:val="004A4DE5"/>
    <w:rsid w:val="004A54BB"/>
    <w:rsid w:val="004A5943"/>
    <w:rsid w:val="004A60FD"/>
    <w:rsid w:val="004A6351"/>
    <w:rsid w:val="004A6415"/>
    <w:rsid w:val="004A657D"/>
    <w:rsid w:val="004A66CA"/>
    <w:rsid w:val="004A67A4"/>
    <w:rsid w:val="004A685E"/>
    <w:rsid w:val="004A775E"/>
    <w:rsid w:val="004A7EC2"/>
    <w:rsid w:val="004B0168"/>
    <w:rsid w:val="004B01A8"/>
    <w:rsid w:val="004B047C"/>
    <w:rsid w:val="004B0648"/>
    <w:rsid w:val="004B0781"/>
    <w:rsid w:val="004B0ABF"/>
    <w:rsid w:val="004B0AFC"/>
    <w:rsid w:val="004B1C0C"/>
    <w:rsid w:val="004B1DCB"/>
    <w:rsid w:val="004B1FEC"/>
    <w:rsid w:val="004B2145"/>
    <w:rsid w:val="004B2185"/>
    <w:rsid w:val="004B2254"/>
    <w:rsid w:val="004B239E"/>
    <w:rsid w:val="004B2A0F"/>
    <w:rsid w:val="004B2E72"/>
    <w:rsid w:val="004B370E"/>
    <w:rsid w:val="004B394C"/>
    <w:rsid w:val="004B3EA9"/>
    <w:rsid w:val="004B3EAF"/>
    <w:rsid w:val="004B42DF"/>
    <w:rsid w:val="004B4844"/>
    <w:rsid w:val="004B4B69"/>
    <w:rsid w:val="004B4C0A"/>
    <w:rsid w:val="004B4D92"/>
    <w:rsid w:val="004B4E03"/>
    <w:rsid w:val="004B5EB3"/>
    <w:rsid w:val="004B628A"/>
    <w:rsid w:val="004B64FD"/>
    <w:rsid w:val="004B6EE2"/>
    <w:rsid w:val="004B7176"/>
    <w:rsid w:val="004B734F"/>
    <w:rsid w:val="004B7D7D"/>
    <w:rsid w:val="004B7DA8"/>
    <w:rsid w:val="004B7E98"/>
    <w:rsid w:val="004C0135"/>
    <w:rsid w:val="004C05BC"/>
    <w:rsid w:val="004C0812"/>
    <w:rsid w:val="004C0BE7"/>
    <w:rsid w:val="004C0DC7"/>
    <w:rsid w:val="004C136D"/>
    <w:rsid w:val="004C13E4"/>
    <w:rsid w:val="004C1B6A"/>
    <w:rsid w:val="004C1F8C"/>
    <w:rsid w:val="004C404D"/>
    <w:rsid w:val="004C43E5"/>
    <w:rsid w:val="004C499C"/>
    <w:rsid w:val="004C50C2"/>
    <w:rsid w:val="004C5440"/>
    <w:rsid w:val="004C59FA"/>
    <w:rsid w:val="004C5ADB"/>
    <w:rsid w:val="004C6030"/>
    <w:rsid w:val="004C691E"/>
    <w:rsid w:val="004C6AAC"/>
    <w:rsid w:val="004C706C"/>
    <w:rsid w:val="004C7099"/>
    <w:rsid w:val="004C742B"/>
    <w:rsid w:val="004C77C3"/>
    <w:rsid w:val="004C77D6"/>
    <w:rsid w:val="004C7F19"/>
    <w:rsid w:val="004C7FC0"/>
    <w:rsid w:val="004D0151"/>
    <w:rsid w:val="004D028C"/>
    <w:rsid w:val="004D0659"/>
    <w:rsid w:val="004D0826"/>
    <w:rsid w:val="004D1D23"/>
    <w:rsid w:val="004D20FD"/>
    <w:rsid w:val="004D224F"/>
    <w:rsid w:val="004D22D6"/>
    <w:rsid w:val="004D2550"/>
    <w:rsid w:val="004D2672"/>
    <w:rsid w:val="004D26CC"/>
    <w:rsid w:val="004D2DD0"/>
    <w:rsid w:val="004D2E41"/>
    <w:rsid w:val="004D316D"/>
    <w:rsid w:val="004D3557"/>
    <w:rsid w:val="004D3575"/>
    <w:rsid w:val="004D3958"/>
    <w:rsid w:val="004D434F"/>
    <w:rsid w:val="004D4871"/>
    <w:rsid w:val="004D4880"/>
    <w:rsid w:val="004D4BA0"/>
    <w:rsid w:val="004D5929"/>
    <w:rsid w:val="004D5D29"/>
    <w:rsid w:val="004D5E9D"/>
    <w:rsid w:val="004D5F02"/>
    <w:rsid w:val="004D6033"/>
    <w:rsid w:val="004D6265"/>
    <w:rsid w:val="004D65E1"/>
    <w:rsid w:val="004D6753"/>
    <w:rsid w:val="004D6E6B"/>
    <w:rsid w:val="004D789D"/>
    <w:rsid w:val="004E0087"/>
    <w:rsid w:val="004E01E9"/>
    <w:rsid w:val="004E08BD"/>
    <w:rsid w:val="004E0A01"/>
    <w:rsid w:val="004E0BA4"/>
    <w:rsid w:val="004E0DFA"/>
    <w:rsid w:val="004E11D5"/>
    <w:rsid w:val="004E141B"/>
    <w:rsid w:val="004E1447"/>
    <w:rsid w:val="004E1676"/>
    <w:rsid w:val="004E1A68"/>
    <w:rsid w:val="004E1CCB"/>
    <w:rsid w:val="004E1DF7"/>
    <w:rsid w:val="004E1F10"/>
    <w:rsid w:val="004E2245"/>
    <w:rsid w:val="004E23F0"/>
    <w:rsid w:val="004E246E"/>
    <w:rsid w:val="004E2735"/>
    <w:rsid w:val="004E29AA"/>
    <w:rsid w:val="004E3109"/>
    <w:rsid w:val="004E41E2"/>
    <w:rsid w:val="004E4678"/>
    <w:rsid w:val="004E4778"/>
    <w:rsid w:val="004E47B4"/>
    <w:rsid w:val="004E4BAA"/>
    <w:rsid w:val="004E4BB3"/>
    <w:rsid w:val="004E4ED7"/>
    <w:rsid w:val="004E4F97"/>
    <w:rsid w:val="004E5045"/>
    <w:rsid w:val="004E5EB4"/>
    <w:rsid w:val="004E6B60"/>
    <w:rsid w:val="004E6DDE"/>
    <w:rsid w:val="004E6E44"/>
    <w:rsid w:val="004E71C2"/>
    <w:rsid w:val="004E7CD8"/>
    <w:rsid w:val="004E7EAE"/>
    <w:rsid w:val="004F06E4"/>
    <w:rsid w:val="004F08FF"/>
    <w:rsid w:val="004F115E"/>
    <w:rsid w:val="004F1297"/>
    <w:rsid w:val="004F1859"/>
    <w:rsid w:val="004F231E"/>
    <w:rsid w:val="004F2339"/>
    <w:rsid w:val="004F2AC9"/>
    <w:rsid w:val="004F2E8C"/>
    <w:rsid w:val="004F3867"/>
    <w:rsid w:val="004F3A97"/>
    <w:rsid w:val="004F405A"/>
    <w:rsid w:val="004F42BC"/>
    <w:rsid w:val="004F4B26"/>
    <w:rsid w:val="004F5314"/>
    <w:rsid w:val="004F5371"/>
    <w:rsid w:val="004F53E5"/>
    <w:rsid w:val="004F56F0"/>
    <w:rsid w:val="004F574F"/>
    <w:rsid w:val="004F57E6"/>
    <w:rsid w:val="004F5812"/>
    <w:rsid w:val="004F5A8C"/>
    <w:rsid w:val="004F6358"/>
    <w:rsid w:val="004F6BDB"/>
    <w:rsid w:val="004F6D15"/>
    <w:rsid w:val="004F6FD5"/>
    <w:rsid w:val="004F7028"/>
    <w:rsid w:val="004F7817"/>
    <w:rsid w:val="004F7C4A"/>
    <w:rsid w:val="004F7CC7"/>
    <w:rsid w:val="004F7D1F"/>
    <w:rsid w:val="00500193"/>
    <w:rsid w:val="00500708"/>
    <w:rsid w:val="00500D46"/>
    <w:rsid w:val="00500E24"/>
    <w:rsid w:val="00500E72"/>
    <w:rsid w:val="00500E76"/>
    <w:rsid w:val="0050157B"/>
    <w:rsid w:val="005017A8"/>
    <w:rsid w:val="00501F8D"/>
    <w:rsid w:val="00502149"/>
    <w:rsid w:val="005028FE"/>
    <w:rsid w:val="00503A30"/>
    <w:rsid w:val="00503EE9"/>
    <w:rsid w:val="00503F61"/>
    <w:rsid w:val="005041EF"/>
    <w:rsid w:val="005043FD"/>
    <w:rsid w:val="00504499"/>
    <w:rsid w:val="00504A04"/>
    <w:rsid w:val="00504BE0"/>
    <w:rsid w:val="00504E6B"/>
    <w:rsid w:val="005050DE"/>
    <w:rsid w:val="00505100"/>
    <w:rsid w:val="005051CA"/>
    <w:rsid w:val="0050525D"/>
    <w:rsid w:val="00505948"/>
    <w:rsid w:val="00505FCD"/>
    <w:rsid w:val="0050642D"/>
    <w:rsid w:val="0050656E"/>
    <w:rsid w:val="00506970"/>
    <w:rsid w:val="00506B94"/>
    <w:rsid w:val="00506CCF"/>
    <w:rsid w:val="00506EC9"/>
    <w:rsid w:val="005070F6"/>
    <w:rsid w:val="00507618"/>
    <w:rsid w:val="00507B3C"/>
    <w:rsid w:val="00507DD8"/>
    <w:rsid w:val="00507F37"/>
    <w:rsid w:val="00507FD4"/>
    <w:rsid w:val="005102AF"/>
    <w:rsid w:val="005107EF"/>
    <w:rsid w:val="00510967"/>
    <w:rsid w:val="00510DF1"/>
    <w:rsid w:val="00511390"/>
    <w:rsid w:val="0051140D"/>
    <w:rsid w:val="0051166C"/>
    <w:rsid w:val="00511CE8"/>
    <w:rsid w:val="0051257B"/>
    <w:rsid w:val="00513483"/>
    <w:rsid w:val="005135FD"/>
    <w:rsid w:val="00513D76"/>
    <w:rsid w:val="00515075"/>
    <w:rsid w:val="005150E2"/>
    <w:rsid w:val="0051534E"/>
    <w:rsid w:val="0051540A"/>
    <w:rsid w:val="0051618F"/>
    <w:rsid w:val="00516F3E"/>
    <w:rsid w:val="00517038"/>
    <w:rsid w:val="00517795"/>
    <w:rsid w:val="00517A73"/>
    <w:rsid w:val="00517E63"/>
    <w:rsid w:val="00520A1E"/>
    <w:rsid w:val="00520FFC"/>
    <w:rsid w:val="00521411"/>
    <w:rsid w:val="0052168C"/>
    <w:rsid w:val="00521875"/>
    <w:rsid w:val="00521A9B"/>
    <w:rsid w:val="00521D3C"/>
    <w:rsid w:val="00522102"/>
    <w:rsid w:val="00522D6B"/>
    <w:rsid w:val="00522E53"/>
    <w:rsid w:val="00522ED8"/>
    <w:rsid w:val="00522F86"/>
    <w:rsid w:val="00522F92"/>
    <w:rsid w:val="005239FF"/>
    <w:rsid w:val="00523CF0"/>
    <w:rsid w:val="0052405A"/>
    <w:rsid w:val="00524C36"/>
    <w:rsid w:val="00524E3C"/>
    <w:rsid w:val="00524E4B"/>
    <w:rsid w:val="00525070"/>
    <w:rsid w:val="00525371"/>
    <w:rsid w:val="00525507"/>
    <w:rsid w:val="0052554D"/>
    <w:rsid w:val="00525895"/>
    <w:rsid w:val="00526208"/>
    <w:rsid w:val="005268BA"/>
    <w:rsid w:val="00526BC5"/>
    <w:rsid w:val="00526DD7"/>
    <w:rsid w:val="00527287"/>
    <w:rsid w:val="0052755C"/>
    <w:rsid w:val="005277DE"/>
    <w:rsid w:val="00527803"/>
    <w:rsid w:val="005278EB"/>
    <w:rsid w:val="00530120"/>
    <w:rsid w:val="00531335"/>
    <w:rsid w:val="00531CC0"/>
    <w:rsid w:val="005322E9"/>
    <w:rsid w:val="005324E7"/>
    <w:rsid w:val="00532B29"/>
    <w:rsid w:val="00532D6B"/>
    <w:rsid w:val="00532E73"/>
    <w:rsid w:val="0053316A"/>
    <w:rsid w:val="00533617"/>
    <w:rsid w:val="00534257"/>
    <w:rsid w:val="00534606"/>
    <w:rsid w:val="00534815"/>
    <w:rsid w:val="00535088"/>
    <w:rsid w:val="005355AB"/>
    <w:rsid w:val="00535958"/>
    <w:rsid w:val="00535DAF"/>
    <w:rsid w:val="00536644"/>
    <w:rsid w:val="00536D4C"/>
    <w:rsid w:val="00537527"/>
    <w:rsid w:val="005377C1"/>
    <w:rsid w:val="00537CDD"/>
    <w:rsid w:val="00537CFC"/>
    <w:rsid w:val="00537D06"/>
    <w:rsid w:val="005402BD"/>
    <w:rsid w:val="0054094A"/>
    <w:rsid w:val="00540B3D"/>
    <w:rsid w:val="00540B9A"/>
    <w:rsid w:val="00540D26"/>
    <w:rsid w:val="00540E66"/>
    <w:rsid w:val="00540F81"/>
    <w:rsid w:val="005415DF"/>
    <w:rsid w:val="00541B2E"/>
    <w:rsid w:val="00541EB3"/>
    <w:rsid w:val="00541FF9"/>
    <w:rsid w:val="0054359B"/>
    <w:rsid w:val="00544127"/>
    <w:rsid w:val="00544155"/>
    <w:rsid w:val="0054460A"/>
    <w:rsid w:val="00544640"/>
    <w:rsid w:val="005449B2"/>
    <w:rsid w:val="00544CDB"/>
    <w:rsid w:val="00544E86"/>
    <w:rsid w:val="0054548A"/>
    <w:rsid w:val="00545703"/>
    <w:rsid w:val="00545889"/>
    <w:rsid w:val="00545B11"/>
    <w:rsid w:val="00545B80"/>
    <w:rsid w:val="00545D57"/>
    <w:rsid w:val="00546AD2"/>
    <w:rsid w:val="00546C9C"/>
    <w:rsid w:val="00546DC5"/>
    <w:rsid w:val="00547009"/>
    <w:rsid w:val="00547370"/>
    <w:rsid w:val="00547FCE"/>
    <w:rsid w:val="00550AFA"/>
    <w:rsid w:val="00551095"/>
    <w:rsid w:val="005517DB"/>
    <w:rsid w:val="00551A35"/>
    <w:rsid w:val="00552029"/>
    <w:rsid w:val="0055207E"/>
    <w:rsid w:val="00552178"/>
    <w:rsid w:val="005521B2"/>
    <w:rsid w:val="005525CF"/>
    <w:rsid w:val="00552894"/>
    <w:rsid w:val="00552946"/>
    <w:rsid w:val="00552B9B"/>
    <w:rsid w:val="00552FFF"/>
    <w:rsid w:val="00553737"/>
    <w:rsid w:val="0055380D"/>
    <w:rsid w:val="00553A3E"/>
    <w:rsid w:val="00553B3E"/>
    <w:rsid w:val="0055457B"/>
    <w:rsid w:val="00554736"/>
    <w:rsid w:val="00554B96"/>
    <w:rsid w:val="00554EE7"/>
    <w:rsid w:val="00555487"/>
    <w:rsid w:val="00555782"/>
    <w:rsid w:val="00555935"/>
    <w:rsid w:val="00556092"/>
    <w:rsid w:val="00556733"/>
    <w:rsid w:val="00556B8E"/>
    <w:rsid w:val="00556C14"/>
    <w:rsid w:val="00556EB9"/>
    <w:rsid w:val="0055701F"/>
    <w:rsid w:val="005574F9"/>
    <w:rsid w:val="005576D5"/>
    <w:rsid w:val="005579CF"/>
    <w:rsid w:val="00557D39"/>
    <w:rsid w:val="00557D81"/>
    <w:rsid w:val="00557DEE"/>
    <w:rsid w:val="00557E29"/>
    <w:rsid w:val="00560151"/>
    <w:rsid w:val="0056020D"/>
    <w:rsid w:val="00560457"/>
    <w:rsid w:val="005607B1"/>
    <w:rsid w:val="00560874"/>
    <w:rsid w:val="00560BFE"/>
    <w:rsid w:val="00561389"/>
    <w:rsid w:val="0056168F"/>
    <w:rsid w:val="005617C6"/>
    <w:rsid w:val="00561E9F"/>
    <w:rsid w:val="0056273A"/>
    <w:rsid w:val="005629D5"/>
    <w:rsid w:val="00562A8A"/>
    <w:rsid w:val="00562BD1"/>
    <w:rsid w:val="0056315D"/>
    <w:rsid w:val="00563537"/>
    <w:rsid w:val="0056369E"/>
    <w:rsid w:val="00563C0C"/>
    <w:rsid w:val="005640E8"/>
    <w:rsid w:val="00564753"/>
    <w:rsid w:val="00564C25"/>
    <w:rsid w:val="005651A0"/>
    <w:rsid w:val="00565D67"/>
    <w:rsid w:val="00566398"/>
    <w:rsid w:val="00566803"/>
    <w:rsid w:val="00566CCE"/>
    <w:rsid w:val="00566D78"/>
    <w:rsid w:val="00567199"/>
    <w:rsid w:val="005702FF"/>
    <w:rsid w:val="00570761"/>
    <w:rsid w:val="00570E94"/>
    <w:rsid w:val="0057113D"/>
    <w:rsid w:val="005714BB"/>
    <w:rsid w:val="00571974"/>
    <w:rsid w:val="00571F59"/>
    <w:rsid w:val="00571FD1"/>
    <w:rsid w:val="0057234D"/>
    <w:rsid w:val="00572826"/>
    <w:rsid w:val="00572FC8"/>
    <w:rsid w:val="00572FDB"/>
    <w:rsid w:val="0057327E"/>
    <w:rsid w:val="00573604"/>
    <w:rsid w:val="005739ED"/>
    <w:rsid w:val="00573E13"/>
    <w:rsid w:val="00573EF3"/>
    <w:rsid w:val="00574716"/>
    <w:rsid w:val="005748B1"/>
    <w:rsid w:val="00574A33"/>
    <w:rsid w:val="0057509C"/>
    <w:rsid w:val="0057528D"/>
    <w:rsid w:val="00576996"/>
    <w:rsid w:val="005769F1"/>
    <w:rsid w:val="00576A3C"/>
    <w:rsid w:val="00576A5C"/>
    <w:rsid w:val="00576BAF"/>
    <w:rsid w:val="00576CCA"/>
    <w:rsid w:val="00577023"/>
    <w:rsid w:val="005770B4"/>
    <w:rsid w:val="005776C4"/>
    <w:rsid w:val="00577C6F"/>
    <w:rsid w:val="00577E42"/>
    <w:rsid w:val="005800D1"/>
    <w:rsid w:val="005809E8"/>
    <w:rsid w:val="005815A9"/>
    <w:rsid w:val="005815B4"/>
    <w:rsid w:val="005815D7"/>
    <w:rsid w:val="005818C6"/>
    <w:rsid w:val="00581D1A"/>
    <w:rsid w:val="00581F9F"/>
    <w:rsid w:val="005823DF"/>
    <w:rsid w:val="00582785"/>
    <w:rsid w:val="005827FB"/>
    <w:rsid w:val="005829A2"/>
    <w:rsid w:val="00582ACE"/>
    <w:rsid w:val="0058315A"/>
    <w:rsid w:val="00583762"/>
    <w:rsid w:val="0058395F"/>
    <w:rsid w:val="005846AD"/>
    <w:rsid w:val="00584999"/>
    <w:rsid w:val="00584B8B"/>
    <w:rsid w:val="00584D5D"/>
    <w:rsid w:val="00584DBE"/>
    <w:rsid w:val="00584F00"/>
    <w:rsid w:val="00585321"/>
    <w:rsid w:val="005855A9"/>
    <w:rsid w:val="00586AB8"/>
    <w:rsid w:val="0058710C"/>
    <w:rsid w:val="005873AA"/>
    <w:rsid w:val="00587896"/>
    <w:rsid w:val="00587A16"/>
    <w:rsid w:val="00590036"/>
    <w:rsid w:val="005904BF"/>
    <w:rsid w:val="00591117"/>
    <w:rsid w:val="005916BF"/>
    <w:rsid w:val="00591733"/>
    <w:rsid w:val="0059186A"/>
    <w:rsid w:val="0059186F"/>
    <w:rsid w:val="00591F3B"/>
    <w:rsid w:val="00592003"/>
    <w:rsid w:val="00592933"/>
    <w:rsid w:val="00592D41"/>
    <w:rsid w:val="00592DD2"/>
    <w:rsid w:val="00592E65"/>
    <w:rsid w:val="00592FC2"/>
    <w:rsid w:val="005932E9"/>
    <w:rsid w:val="00593381"/>
    <w:rsid w:val="005936A1"/>
    <w:rsid w:val="005938C3"/>
    <w:rsid w:val="00593DD1"/>
    <w:rsid w:val="005944F8"/>
    <w:rsid w:val="00594857"/>
    <w:rsid w:val="00594C8C"/>
    <w:rsid w:val="005951DF"/>
    <w:rsid w:val="005952AB"/>
    <w:rsid w:val="00595805"/>
    <w:rsid w:val="00595883"/>
    <w:rsid w:val="00595E20"/>
    <w:rsid w:val="00595E77"/>
    <w:rsid w:val="00595E78"/>
    <w:rsid w:val="00596245"/>
    <w:rsid w:val="00596748"/>
    <w:rsid w:val="00596C16"/>
    <w:rsid w:val="00597A9D"/>
    <w:rsid w:val="00597C0E"/>
    <w:rsid w:val="005A0246"/>
    <w:rsid w:val="005A0A8A"/>
    <w:rsid w:val="005A0F00"/>
    <w:rsid w:val="005A1024"/>
    <w:rsid w:val="005A1094"/>
    <w:rsid w:val="005A141F"/>
    <w:rsid w:val="005A1467"/>
    <w:rsid w:val="005A1E57"/>
    <w:rsid w:val="005A1FE5"/>
    <w:rsid w:val="005A24AA"/>
    <w:rsid w:val="005A263F"/>
    <w:rsid w:val="005A2857"/>
    <w:rsid w:val="005A29CD"/>
    <w:rsid w:val="005A29FA"/>
    <w:rsid w:val="005A2A45"/>
    <w:rsid w:val="005A2A6F"/>
    <w:rsid w:val="005A2DC0"/>
    <w:rsid w:val="005A3AF9"/>
    <w:rsid w:val="005A3D72"/>
    <w:rsid w:val="005A420D"/>
    <w:rsid w:val="005A494C"/>
    <w:rsid w:val="005A4F1C"/>
    <w:rsid w:val="005A59F1"/>
    <w:rsid w:val="005A5DA6"/>
    <w:rsid w:val="005A5FBA"/>
    <w:rsid w:val="005A6CE0"/>
    <w:rsid w:val="005A6FAB"/>
    <w:rsid w:val="005A73DA"/>
    <w:rsid w:val="005A78C6"/>
    <w:rsid w:val="005A7939"/>
    <w:rsid w:val="005B0DBA"/>
    <w:rsid w:val="005B0E9F"/>
    <w:rsid w:val="005B15F0"/>
    <w:rsid w:val="005B1644"/>
    <w:rsid w:val="005B173C"/>
    <w:rsid w:val="005B2296"/>
    <w:rsid w:val="005B2531"/>
    <w:rsid w:val="005B2D08"/>
    <w:rsid w:val="005B2EE8"/>
    <w:rsid w:val="005B3179"/>
    <w:rsid w:val="005B3508"/>
    <w:rsid w:val="005B3707"/>
    <w:rsid w:val="005B3C20"/>
    <w:rsid w:val="005B3E5F"/>
    <w:rsid w:val="005B3F1B"/>
    <w:rsid w:val="005B3FDC"/>
    <w:rsid w:val="005B4062"/>
    <w:rsid w:val="005B43B4"/>
    <w:rsid w:val="005B4486"/>
    <w:rsid w:val="005B4712"/>
    <w:rsid w:val="005B4A51"/>
    <w:rsid w:val="005B4A6B"/>
    <w:rsid w:val="005B4B26"/>
    <w:rsid w:val="005B54C2"/>
    <w:rsid w:val="005B5A79"/>
    <w:rsid w:val="005B64CA"/>
    <w:rsid w:val="005B6EC5"/>
    <w:rsid w:val="005B73AA"/>
    <w:rsid w:val="005B7E23"/>
    <w:rsid w:val="005C00DC"/>
    <w:rsid w:val="005C0172"/>
    <w:rsid w:val="005C018A"/>
    <w:rsid w:val="005C052A"/>
    <w:rsid w:val="005C108A"/>
    <w:rsid w:val="005C1937"/>
    <w:rsid w:val="005C1E3B"/>
    <w:rsid w:val="005C2090"/>
    <w:rsid w:val="005C2286"/>
    <w:rsid w:val="005C2336"/>
    <w:rsid w:val="005C2660"/>
    <w:rsid w:val="005C2890"/>
    <w:rsid w:val="005C2B87"/>
    <w:rsid w:val="005C3153"/>
    <w:rsid w:val="005C342E"/>
    <w:rsid w:val="005C3536"/>
    <w:rsid w:val="005C35E9"/>
    <w:rsid w:val="005C3659"/>
    <w:rsid w:val="005C3AF6"/>
    <w:rsid w:val="005C401F"/>
    <w:rsid w:val="005C4561"/>
    <w:rsid w:val="005C4B93"/>
    <w:rsid w:val="005C50B8"/>
    <w:rsid w:val="005C5189"/>
    <w:rsid w:val="005C5428"/>
    <w:rsid w:val="005C5754"/>
    <w:rsid w:val="005C67B5"/>
    <w:rsid w:val="005C6808"/>
    <w:rsid w:val="005C6833"/>
    <w:rsid w:val="005C6A12"/>
    <w:rsid w:val="005C6B88"/>
    <w:rsid w:val="005C6E01"/>
    <w:rsid w:val="005C7327"/>
    <w:rsid w:val="005C7356"/>
    <w:rsid w:val="005C74E2"/>
    <w:rsid w:val="005C7936"/>
    <w:rsid w:val="005C7E77"/>
    <w:rsid w:val="005D007F"/>
    <w:rsid w:val="005D0A69"/>
    <w:rsid w:val="005D0F78"/>
    <w:rsid w:val="005D132A"/>
    <w:rsid w:val="005D1E39"/>
    <w:rsid w:val="005D203D"/>
    <w:rsid w:val="005D208F"/>
    <w:rsid w:val="005D27E2"/>
    <w:rsid w:val="005D2900"/>
    <w:rsid w:val="005D2927"/>
    <w:rsid w:val="005D32BE"/>
    <w:rsid w:val="005D340C"/>
    <w:rsid w:val="005D3568"/>
    <w:rsid w:val="005D3841"/>
    <w:rsid w:val="005D3E58"/>
    <w:rsid w:val="005D47D6"/>
    <w:rsid w:val="005D491F"/>
    <w:rsid w:val="005D4E18"/>
    <w:rsid w:val="005D5292"/>
    <w:rsid w:val="005D5388"/>
    <w:rsid w:val="005D54BB"/>
    <w:rsid w:val="005D5881"/>
    <w:rsid w:val="005D5C68"/>
    <w:rsid w:val="005D5FF6"/>
    <w:rsid w:val="005D600A"/>
    <w:rsid w:val="005D663A"/>
    <w:rsid w:val="005D672D"/>
    <w:rsid w:val="005D705E"/>
    <w:rsid w:val="005D7A91"/>
    <w:rsid w:val="005E00DC"/>
    <w:rsid w:val="005E0E99"/>
    <w:rsid w:val="005E106E"/>
    <w:rsid w:val="005E1238"/>
    <w:rsid w:val="005E1344"/>
    <w:rsid w:val="005E1A76"/>
    <w:rsid w:val="005E220C"/>
    <w:rsid w:val="005E25C8"/>
    <w:rsid w:val="005E26C2"/>
    <w:rsid w:val="005E26DA"/>
    <w:rsid w:val="005E283C"/>
    <w:rsid w:val="005E2885"/>
    <w:rsid w:val="005E2F3D"/>
    <w:rsid w:val="005E30E5"/>
    <w:rsid w:val="005E336E"/>
    <w:rsid w:val="005E340C"/>
    <w:rsid w:val="005E3830"/>
    <w:rsid w:val="005E3B4B"/>
    <w:rsid w:val="005E3C6C"/>
    <w:rsid w:val="005E415B"/>
    <w:rsid w:val="005E433F"/>
    <w:rsid w:val="005E45FF"/>
    <w:rsid w:val="005E47F9"/>
    <w:rsid w:val="005E491A"/>
    <w:rsid w:val="005E4ED7"/>
    <w:rsid w:val="005E501B"/>
    <w:rsid w:val="005E504C"/>
    <w:rsid w:val="005E5299"/>
    <w:rsid w:val="005E5365"/>
    <w:rsid w:val="005E54F0"/>
    <w:rsid w:val="005E5591"/>
    <w:rsid w:val="005E5745"/>
    <w:rsid w:val="005E5862"/>
    <w:rsid w:val="005E5D05"/>
    <w:rsid w:val="005E5EFE"/>
    <w:rsid w:val="005E6182"/>
    <w:rsid w:val="005E659C"/>
    <w:rsid w:val="005E6894"/>
    <w:rsid w:val="005E70BD"/>
    <w:rsid w:val="005E7340"/>
    <w:rsid w:val="005E746C"/>
    <w:rsid w:val="005E7538"/>
    <w:rsid w:val="005E7C60"/>
    <w:rsid w:val="005E7C61"/>
    <w:rsid w:val="005E7C94"/>
    <w:rsid w:val="005F030F"/>
    <w:rsid w:val="005F098C"/>
    <w:rsid w:val="005F09B9"/>
    <w:rsid w:val="005F0C45"/>
    <w:rsid w:val="005F0F00"/>
    <w:rsid w:val="005F11C0"/>
    <w:rsid w:val="005F14D7"/>
    <w:rsid w:val="005F194F"/>
    <w:rsid w:val="005F206B"/>
    <w:rsid w:val="005F2126"/>
    <w:rsid w:val="005F2A14"/>
    <w:rsid w:val="005F2C00"/>
    <w:rsid w:val="005F3444"/>
    <w:rsid w:val="005F361A"/>
    <w:rsid w:val="005F363F"/>
    <w:rsid w:val="005F3A24"/>
    <w:rsid w:val="005F3FC5"/>
    <w:rsid w:val="005F42EF"/>
    <w:rsid w:val="005F45FD"/>
    <w:rsid w:val="005F4C34"/>
    <w:rsid w:val="005F4E22"/>
    <w:rsid w:val="005F4E40"/>
    <w:rsid w:val="005F4F45"/>
    <w:rsid w:val="005F574F"/>
    <w:rsid w:val="005F58F1"/>
    <w:rsid w:val="005F598B"/>
    <w:rsid w:val="005F6107"/>
    <w:rsid w:val="005F642D"/>
    <w:rsid w:val="005F6995"/>
    <w:rsid w:val="005F69F2"/>
    <w:rsid w:val="005F6B59"/>
    <w:rsid w:val="005F6EF9"/>
    <w:rsid w:val="005F6FB2"/>
    <w:rsid w:val="005F7089"/>
    <w:rsid w:val="005F7093"/>
    <w:rsid w:val="005F722E"/>
    <w:rsid w:val="005F78E6"/>
    <w:rsid w:val="005F7943"/>
    <w:rsid w:val="00600971"/>
    <w:rsid w:val="006015B2"/>
    <w:rsid w:val="006016A3"/>
    <w:rsid w:val="00601909"/>
    <w:rsid w:val="00601A7A"/>
    <w:rsid w:val="00601EB0"/>
    <w:rsid w:val="00602116"/>
    <w:rsid w:val="006026CE"/>
    <w:rsid w:val="00602CD7"/>
    <w:rsid w:val="0060332A"/>
    <w:rsid w:val="0060340C"/>
    <w:rsid w:val="00603D72"/>
    <w:rsid w:val="00604303"/>
    <w:rsid w:val="00604684"/>
    <w:rsid w:val="00604708"/>
    <w:rsid w:val="006048E4"/>
    <w:rsid w:val="00604AEE"/>
    <w:rsid w:val="00604D8A"/>
    <w:rsid w:val="00605503"/>
    <w:rsid w:val="00605F17"/>
    <w:rsid w:val="006060D6"/>
    <w:rsid w:val="00606168"/>
    <w:rsid w:val="006063E5"/>
    <w:rsid w:val="0060681F"/>
    <w:rsid w:val="006068F5"/>
    <w:rsid w:val="00606BF3"/>
    <w:rsid w:val="00606E61"/>
    <w:rsid w:val="00606EC2"/>
    <w:rsid w:val="006071FC"/>
    <w:rsid w:val="00607205"/>
    <w:rsid w:val="00607628"/>
    <w:rsid w:val="00607E85"/>
    <w:rsid w:val="0061026C"/>
    <w:rsid w:val="006105FA"/>
    <w:rsid w:val="006107A6"/>
    <w:rsid w:val="00610ABF"/>
    <w:rsid w:val="00610AD4"/>
    <w:rsid w:val="00610BF3"/>
    <w:rsid w:val="00610D1D"/>
    <w:rsid w:val="00610FF3"/>
    <w:rsid w:val="006111E3"/>
    <w:rsid w:val="006112DC"/>
    <w:rsid w:val="006113A6"/>
    <w:rsid w:val="00611509"/>
    <w:rsid w:val="00611D92"/>
    <w:rsid w:val="00611E23"/>
    <w:rsid w:val="0061268E"/>
    <w:rsid w:val="006131E5"/>
    <w:rsid w:val="0061348F"/>
    <w:rsid w:val="00613A31"/>
    <w:rsid w:val="00613CE5"/>
    <w:rsid w:val="006140CA"/>
    <w:rsid w:val="006141E7"/>
    <w:rsid w:val="0061439A"/>
    <w:rsid w:val="00614955"/>
    <w:rsid w:val="00614EA7"/>
    <w:rsid w:val="00614EBD"/>
    <w:rsid w:val="006151B3"/>
    <w:rsid w:val="00615300"/>
    <w:rsid w:val="006155C8"/>
    <w:rsid w:val="00615C10"/>
    <w:rsid w:val="00615D11"/>
    <w:rsid w:val="00615F2E"/>
    <w:rsid w:val="00616091"/>
    <w:rsid w:val="0061612C"/>
    <w:rsid w:val="006162BC"/>
    <w:rsid w:val="006166DB"/>
    <w:rsid w:val="00616EAD"/>
    <w:rsid w:val="006170A0"/>
    <w:rsid w:val="00617723"/>
    <w:rsid w:val="00617C80"/>
    <w:rsid w:val="00617C8E"/>
    <w:rsid w:val="00617D97"/>
    <w:rsid w:val="00617F7E"/>
    <w:rsid w:val="00620820"/>
    <w:rsid w:val="0062111A"/>
    <w:rsid w:val="006213AE"/>
    <w:rsid w:val="0062147A"/>
    <w:rsid w:val="006218BC"/>
    <w:rsid w:val="00621E0B"/>
    <w:rsid w:val="00622423"/>
    <w:rsid w:val="00622607"/>
    <w:rsid w:val="0062277A"/>
    <w:rsid w:val="00622A6A"/>
    <w:rsid w:val="00623161"/>
    <w:rsid w:val="0062348C"/>
    <w:rsid w:val="006237BB"/>
    <w:rsid w:val="006238E4"/>
    <w:rsid w:val="00623BA6"/>
    <w:rsid w:val="00623CAD"/>
    <w:rsid w:val="00623E83"/>
    <w:rsid w:val="006241F1"/>
    <w:rsid w:val="006243A4"/>
    <w:rsid w:val="00624607"/>
    <w:rsid w:val="006247DB"/>
    <w:rsid w:val="006248FC"/>
    <w:rsid w:val="0062493A"/>
    <w:rsid w:val="00624A7B"/>
    <w:rsid w:val="00624F27"/>
    <w:rsid w:val="006251BE"/>
    <w:rsid w:val="0062526A"/>
    <w:rsid w:val="0062552D"/>
    <w:rsid w:val="00625E3B"/>
    <w:rsid w:val="00626205"/>
    <w:rsid w:val="0062631B"/>
    <w:rsid w:val="00626616"/>
    <w:rsid w:val="0062662E"/>
    <w:rsid w:val="006266EE"/>
    <w:rsid w:val="0062683D"/>
    <w:rsid w:val="006268AC"/>
    <w:rsid w:val="0062721B"/>
    <w:rsid w:val="00627877"/>
    <w:rsid w:val="00630477"/>
    <w:rsid w:val="006309E9"/>
    <w:rsid w:val="00630FA7"/>
    <w:rsid w:val="00631245"/>
    <w:rsid w:val="006315FF"/>
    <w:rsid w:val="0063168F"/>
    <w:rsid w:val="00631721"/>
    <w:rsid w:val="0063181F"/>
    <w:rsid w:val="00631F86"/>
    <w:rsid w:val="00631FF2"/>
    <w:rsid w:val="0063204D"/>
    <w:rsid w:val="006325BC"/>
    <w:rsid w:val="0063292B"/>
    <w:rsid w:val="00632967"/>
    <w:rsid w:val="006333AA"/>
    <w:rsid w:val="0063373E"/>
    <w:rsid w:val="00633C37"/>
    <w:rsid w:val="006341B6"/>
    <w:rsid w:val="00634414"/>
    <w:rsid w:val="006344C3"/>
    <w:rsid w:val="006344C7"/>
    <w:rsid w:val="006351CF"/>
    <w:rsid w:val="006351E0"/>
    <w:rsid w:val="00635519"/>
    <w:rsid w:val="00635582"/>
    <w:rsid w:val="00635B00"/>
    <w:rsid w:val="00635C88"/>
    <w:rsid w:val="00636722"/>
    <w:rsid w:val="00636B2A"/>
    <w:rsid w:val="00636D3E"/>
    <w:rsid w:val="00636DF9"/>
    <w:rsid w:val="006370AD"/>
    <w:rsid w:val="00637BA6"/>
    <w:rsid w:val="00637F5F"/>
    <w:rsid w:val="00640532"/>
    <w:rsid w:val="00640F4B"/>
    <w:rsid w:val="006415BC"/>
    <w:rsid w:val="0064173A"/>
    <w:rsid w:val="0064173F"/>
    <w:rsid w:val="00641939"/>
    <w:rsid w:val="006419E2"/>
    <w:rsid w:val="00641A0E"/>
    <w:rsid w:val="00641EF3"/>
    <w:rsid w:val="00642949"/>
    <w:rsid w:val="00642A4E"/>
    <w:rsid w:val="00642ABA"/>
    <w:rsid w:val="00642B7B"/>
    <w:rsid w:val="0064310E"/>
    <w:rsid w:val="00643795"/>
    <w:rsid w:val="006439E4"/>
    <w:rsid w:val="00643ABF"/>
    <w:rsid w:val="00643FA5"/>
    <w:rsid w:val="006440B1"/>
    <w:rsid w:val="00644176"/>
    <w:rsid w:val="00644185"/>
    <w:rsid w:val="00644904"/>
    <w:rsid w:val="00644F09"/>
    <w:rsid w:val="00644F6D"/>
    <w:rsid w:val="006451C4"/>
    <w:rsid w:val="00645253"/>
    <w:rsid w:val="0064529F"/>
    <w:rsid w:val="00645371"/>
    <w:rsid w:val="006453DA"/>
    <w:rsid w:val="0064541F"/>
    <w:rsid w:val="006456D3"/>
    <w:rsid w:val="00645EEC"/>
    <w:rsid w:val="006460BC"/>
    <w:rsid w:val="00646233"/>
    <w:rsid w:val="00646DE7"/>
    <w:rsid w:val="0064733D"/>
    <w:rsid w:val="006473AC"/>
    <w:rsid w:val="0064741B"/>
    <w:rsid w:val="00647777"/>
    <w:rsid w:val="0064792E"/>
    <w:rsid w:val="00647ACD"/>
    <w:rsid w:val="00647BCB"/>
    <w:rsid w:val="0065077C"/>
    <w:rsid w:val="00650A70"/>
    <w:rsid w:val="00650CCF"/>
    <w:rsid w:val="00650F64"/>
    <w:rsid w:val="006514BB"/>
    <w:rsid w:val="00651D2A"/>
    <w:rsid w:val="00652039"/>
    <w:rsid w:val="0065233A"/>
    <w:rsid w:val="00652751"/>
    <w:rsid w:val="00653267"/>
    <w:rsid w:val="0065371C"/>
    <w:rsid w:val="00653AB6"/>
    <w:rsid w:val="00653F2B"/>
    <w:rsid w:val="006540F9"/>
    <w:rsid w:val="0065412B"/>
    <w:rsid w:val="00654B7D"/>
    <w:rsid w:val="006553EB"/>
    <w:rsid w:val="00655497"/>
    <w:rsid w:val="0065565E"/>
    <w:rsid w:val="006562D5"/>
    <w:rsid w:val="006563BE"/>
    <w:rsid w:val="00656539"/>
    <w:rsid w:val="00656836"/>
    <w:rsid w:val="00657220"/>
    <w:rsid w:val="00657982"/>
    <w:rsid w:val="0066027D"/>
    <w:rsid w:val="00661057"/>
    <w:rsid w:val="006611C5"/>
    <w:rsid w:val="0066158B"/>
    <w:rsid w:val="00661715"/>
    <w:rsid w:val="00661970"/>
    <w:rsid w:val="00661C1E"/>
    <w:rsid w:val="006620C4"/>
    <w:rsid w:val="006623C1"/>
    <w:rsid w:val="0066243D"/>
    <w:rsid w:val="0066258D"/>
    <w:rsid w:val="0066262A"/>
    <w:rsid w:val="00663BDE"/>
    <w:rsid w:val="00663EA5"/>
    <w:rsid w:val="00663EE9"/>
    <w:rsid w:val="00664915"/>
    <w:rsid w:val="00664DCE"/>
    <w:rsid w:val="00664E5B"/>
    <w:rsid w:val="0066530A"/>
    <w:rsid w:val="00665372"/>
    <w:rsid w:val="00665AE4"/>
    <w:rsid w:val="006662B5"/>
    <w:rsid w:val="006665E6"/>
    <w:rsid w:val="00666762"/>
    <w:rsid w:val="00666A0B"/>
    <w:rsid w:val="0066715E"/>
    <w:rsid w:val="00667400"/>
    <w:rsid w:val="00667618"/>
    <w:rsid w:val="00667D86"/>
    <w:rsid w:val="00667F7B"/>
    <w:rsid w:val="006703DD"/>
    <w:rsid w:val="006704DF"/>
    <w:rsid w:val="006706A8"/>
    <w:rsid w:val="0067073A"/>
    <w:rsid w:val="006708A8"/>
    <w:rsid w:val="00670F0E"/>
    <w:rsid w:val="00671326"/>
    <w:rsid w:val="00671B07"/>
    <w:rsid w:val="00671D2D"/>
    <w:rsid w:val="006726BD"/>
    <w:rsid w:val="006726E9"/>
    <w:rsid w:val="00672768"/>
    <w:rsid w:val="006732BF"/>
    <w:rsid w:val="00673611"/>
    <w:rsid w:val="00673AB5"/>
    <w:rsid w:val="00674628"/>
    <w:rsid w:val="0067490C"/>
    <w:rsid w:val="00674B65"/>
    <w:rsid w:val="00674D06"/>
    <w:rsid w:val="006755BF"/>
    <w:rsid w:val="00675E67"/>
    <w:rsid w:val="00675E7C"/>
    <w:rsid w:val="006761CD"/>
    <w:rsid w:val="0067741D"/>
    <w:rsid w:val="00677789"/>
    <w:rsid w:val="006777AA"/>
    <w:rsid w:val="00677D23"/>
    <w:rsid w:val="006808D0"/>
    <w:rsid w:val="006809C5"/>
    <w:rsid w:val="00680F73"/>
    <w:rsid w:val="006812EE"/>
    <w:rsid w:val="0068182D"/>
    <w:rsid w:val="00681B34"/>
    <w:rsid w:val="00681C2D"/>
    <w:rsid w:val="00681F69"/>
    <w:rsid w:val="00682350"/>
    <w:rsid w:val="006827A7"/>
    <w:rsid w:val="006827B2"/>
    <w:rsid w:val="00682A03"/>
    <w:rsid w:val="006831A9"/>
    <w:rsid w:val="00683451"/>
    <w:rsid w:val="006839ED"/>
    <w:rsid w:val="00683D77"/>
    <w:rsid w:val="00683E22"/>
    <w:rsid w:val="00684001"/>
    <w:rsid w:val="00684139"/>
    <w:rsid w:val="0068440B"/>
    <w:rsid w:val="00684468"/>
    <w:rsid w:val="00684738"/>
    <w:rsid w:val="0068498C"/>
    <w:rsid w:val="00685156"/>
    <w:rsid w:val="0068555D"/>
    <w:rsid w:val="0068557A"/>
    <w:rsid w:val="006855B2"/>
    <w:rsid w:val="00685789"/>
    <w:rsid w:val="00685F80"/>
    <w:rsid w:val="006864A0"/>
    <w:rsid w:val="0068687B"/>
    <w:rsid w:val="00686B68"/>
    <w:rsid w:val="00687092"/>
    <w:rsid w:val="006871EC"/>
    <w:rsid w:val="0068753A"/>
    <w:rsid w:val="00687573"/>
    <w:rsid w:val="00690447"/>
    <w:rsid w:val="0069051A"/>
    <w:rsid w:val="006909C3"/>
    <w:rsid w:val="00690BDE"/>
    <w:rsid w:val="00690C04"/>
    <w:rsid w:val="00691BC8"/>
    <w:rsid w:val="0069241A"/>
    <w:rsid w:val="006924AE"/>
    <w:rsid w:val="00692534"/>
    <w:rsid w:val="006925F3"/>
    <w:rsid w:val="00692E07"/>
    <w:rsid w:val="0069329F"/>
    <w:rsid w:val="006936C3"/>
    <w:rsid w:val="00693B0A"/>
    <w:rsid w:val="00693EE9"/>
    <w:rsid w:val="00693FE8"/>
    <w:rsid w:val="00694104"/>
    <w:rsid w:val="00694132"/>
    <w:rsid w:val="0069433D"/>
    <w:rsid w:val="00694785"/>
    <w:rsid w:val="00694D6B"/>
    <w:rsid w:val="00695296"/>
    <w:rsid w:val="0069572F"/>
    <w:rsid w:val="006958EF"/>
    <w:rsid w:val="00695BAB"/>
    <w:rsid w:val="00695DD8"/>
    <w:rsid w:val="00695EBE"/>
    <w:rsid w:val="00696739"/>
    <w:rsid w:val="0069687F"/>
    <w:rsid w:val="00696AAB"/>
    <w:rsid w:val="00696E28"/>
    <w:rsid w:val="00696FDB"/>
    <w:rsid w:val="0069704B"/>
    <w:rsid w:val="006971E0"/>
    <w:rsid w:val="00697D98"/>
    <w:rsid w:val="00697E63"/>
    <w:rsid w:val="006A0CB7"/>
    <w:rsid w:val="006A1186"/>
    <w:rsid w:val="006A14E9"/>
    <w:rsid w:val="006A1613"/>
    <w:rsid w:val="006A17F4"/>
    <w:rsid w:val="006A19FA"/>
    <w:rsid w:val="006A1F95"/>
    <w:rsid w:val="006A2135"/>
    <w:rsid w:val="006A2682"/>
    <w:rsid w:val="006A2A33"/>
    <w:rsid w:val="006A2BC8"/>
    <w:rsid w:val="006A2C46"/>
    <w:rsid w:val="006A2D96"/>
    <w:rsid w:val="006A30C5"/>
    <w:rsid w:val="006A3122"/>
    <w:rsid w:val="006A339D"/>
    <w:rsid w:val="006A3453"/>
    <w:rsid w:val="006A3A81"/>
    <w:rsid w:val="006A3D46"/>
    <w:rsid w:val="006A3D51"/>
    <w:rsid w:val="006A3DE7"/>
    <w:rsid w:val="006A3EFD"/>
    <w:rsid w:val="006A409B"/>
    <w:rsid w:val="006A4403"/>
    <w:rsid w:val="006A456E"/>
    <w:rsid w:val="006A471E"/>
    <w:rsid w:val="006A4B37"/>
    <w:rsid w:val="006A4F66"/>
    <w:rsid w:val="006A51B3"/>
    <w:rsid w:val="006A51D2"/>
    <w:rsid w:val="006A51D3"/>
    <w:rsid w:val="006A5773"/>
    <w:rsid w:val="006A5CBA"/>
    <w:rsid w:val="006A5CD8"/>
    <w:rsid w:val="006A5ED0"/>
    <w:rsid w:val="006A60CF"/>
    <w:rsid w:val="006A60E8"/>
    <w:rsid w:val="006A6168"/>
    <w:rsid w:val="006A650D"/>
    <w:rsid w:val="006A6532"/>
    <w:rsid w:val="006A69FA"/>
    <w:rsid w:val="006A7257"/>
    <w:rsid w:val="006A74EB"/>
    <w:rsid w:val="006A7DC4"/>
    <w:rsid w:val="006B0009"/>
    <w:rsid w:val="006B03AC"/>
    <w:rsid w:val="006B0BD9"/>
    <w:rsid w:val="006B0C8E"/>
    <w:rsid w:val="006B1106"/>
    <w:rsid w:val="006B1198"/>
    <w:rsid w:val="006B1399"/>
    <w:rsid w:val="006B146B"/>
    <w:rsid w:val="006B16FF"/>
    <w:rsid w:val="006B1B14"/>
    <w:rsid w:val="006B1F75"/>
    <w:rsid w:val="006B2366"/>
    <w:rsid w:val="006B29EF"/>
    <w:rsid w:val="006B2B17"/>
    <w:rsid w:val="006B2C4B"/>
    <w:rsid w:val="006B316B"/>
    <w:rsid w:val="006B356F"/>
    <w:rsid w:val="006B3688"/>
    <w:rsid w:val="006B3D09"/>
    <w:rsid w:val="006B3FAC"/>
    <w:rsid w:val="006B4D6F"/>
    <w:rsid w:val="006B4E01"/>
    <w:rsid w:val="006B55A3"/>
    <w:rsid w:val="006B5679"/>
    <w:rsid w:val="006B5708"/>
    <w:rsid w:val="006B5EA0"/>
    <w:rsid w:val="006B5EE8"/>
    <w:rsid w:val="006B61B4"/>
    <w:rsid w:val="006B622B"/>
    <w:rsid w:val="006B6C2C"/>
    <w:rsid w:val="006B6CC3"/>
    <w:rsid w:val="006B6D4C"/>
    <w:rsid w:val="006B71F3"/>
    <w:rsid w:val="006B7966"/>
    <w:rsid w:val="006B79E6"/>
    <w:rsid w:val="006B7DB0"/>
    <w:rsid w:val="006C037E"/>
    <w:rsid w:val="006C0451"/>
    <w:rsid w:val="006C05FC"/>
    <w:rsid w:val="006C0603"/>
    <w:rsid w:val="006C0B0A"/>
    <w:rsid w:val="006C0E8F"/>
    <w:rsid w:val="006C115C"/>
    <w:rsid w:val="006C15AE"/>
    <w:rsid w:val="006C19B8"/>
    <w:rsid w:val="006C25D4"/>
    <w:rsid w:val="006C27B6"/>
    <w:rsid w:val="006C2A0C"/>
    <w:rsid w:val="006C375A"/>
    <w:rsid w:val="006C39A7"/>
    <w:rsid w:val="006C39EA"/>
    <w:rsid w:val="006C3ABA"/>
    <w:rsid w:val="006C42C5"/>
    <w:rsid w:val="006C4A7C"/>
    <w:rsid w:val="006C5295"/>
    <w:rsid w:val="006C538D"/>
    <w:rsid w:val="006C549F"/>
    <w:rsid w:val="006C5845"/>
    <w:rsid w:val="006C5B34"/>
    <w:rsid w:val="006C5CC1"/>
    <w:rsid w:val="006C5D4C"/>
    <w:rsid w:val="006C5EAA"/>
    <w:rsid w:val="006C6DBB"/>
    <w:rsid w:val="006C6F2B"/>
    <w:rsid w:val="006C6F79"/>
    <w:rsid w:val="006C701D"/>
    <w:rsid w:val="006C7247"/>
    <w:rsid w:val="006C7AF8"/>
    <w:rsid w:val="006C7E39"/>
    <w:rsid w:val="006C7F2E"/>
    <w:rsid w:val="006D018E"/>
    <w:rsid w:val="006D0718"/>
    <w:rsid w:val="006D0D7F"/>
    <w:rsid w:val="006D1050"/>
    <w:rsid w:val="006D11EF"/>
    <w:rsid w:val="006D1229"/>
    <w:rsid w:val="006D13D6"/>
    <w:rsid w:val="006D1686"/>
    <w:rsid w:val="006D2940"/>
    <w:rsid w:val="006D33D1"/>
    <w:rsid w:val="006D3A6B"/>
    <w:rsid w:val="006D3DFB"/>
    <w:rsid w:val="006D3F73"/>
    <w:rsid w:val="006D4586"/>
    <w:rsid w:val="006D4EA0"/>
    <w:rsid w:val="006D53B5"/>
    <w:rsid w:val="006D57DA"/>
    <w:rsid w:val="006D57F4"/>
    <w:rsid w:val="006D588E"/>
    <w:rsid w:val="006D58B0"/>
    <w:rsid w:val="006D5A67"/>
    <w:rsid w:val="006D5B91"/>
    <w:rsid w:val="006D5C66"/>
    <w:rsid w:val="006D5C74"/>
    <w:rsid w:val="006D6E58"/>
    <w:rsid w:val="006E0354"/>
    <w:rsid w:val="006E041A"/>
    <w:rsid w:val="006E0522"/>
    <w:rsid w:val="006E08FB"/>
    <w:rsid w:val="006E0F15"/>
    <w:rsid w:val="006E1636"/>
    <w:rsid w:val="006E1693"/>
    <w:rsid w:val="006E181A"/>
    <w:rsid w:val="006E18B0"/>
    <w:rsid w:val="006E1DB3"/>
    <w:rsid w:val="006E1FDF"/>
    <w:rsid w:val="006E2043"/>
    <w:rsid w:val="006E2219"/>
    <w:rsid w:val="006E23F2"/>
    <w:rsid w:val="006E293F"/>
    <w:rsid w:val="006E2996"/>
    <w:rsid w:val="006E31C9"/>
    <w:rsid w:val="006E3682"/>
    <w:rsid w:val="006E3B76"/>
    <w:rsid w:val="006E3E40"/>
    <w:rsid w:val="006E3EAC"/>
    <w:rsid w:val="006E43E1"/>
    <w:rsid w:val="006E4412"/>
    <w:rsid w:val="006E48C2"/>
    <w:rsid w:val="006E5595"/>
    <w:rsid w:val="006E5699"/>
    <w:rsid w:val="006E586B"/>
    <w:rsid w:val="006E5A29"/>
    <w:rsid w:val="006E5AF4"/>
    <w:rsid w:val="006E5F06"/>
    <w:rsid w:val="006E6453"/>
    <w:rsid w:val="006E66A1"/>
    <w:rsid w:val="006E66E1"/>
    <w:rsid w:val="006E676D"/>
    <w:rsid w:val="006E6D4E"/>
    <w:rsid w:val="006E6EF5"/>
    <w:rsid w:val="006E72E8"/>
    <w:rsid w:val="006E7751"/>
    <w:rsid w:val="006E7905"/>
    <w:rsid w:val="006E7D12"/>
    <w:rsid w:val="006E7D2A"/>
    <w:rsid w:val="006E7F2C"/>
    <w:rsid w:val="006F022B"/>
    <w:rsid w:val="006F17B0"/>
    <w:rsid w:val="006F1944"/>
    <w:rsid w:val="006F1A1B"/>
    <w:rsid w:val="006F1A8E"/>
    <w:rsid w:val="006F1BE7"/>
    <w:rsid w:val="006F1C35"/>
    <w:rsid w:val="006F1D77"/>
    <w:rsid w:val="006F1E1E"/>
    <w:rsid w:val="006F25F8"/>
    <w:rsid w:val="006F2829"/>
    <w:rsid w:val="006F287E"/>
    <w:rsid w:val="006F2A4D"/>
    <w:rsid w:val="006F2ADD"/>
    <w:rsid w:val="006F2BA6"/>
    <w:rsid w:val="006F3039"/>
    <w:rsid w:val="006F31F0"/>
    <w:rsid w:val="006F3A25"/>
    <w:rsid w:val="006F3A3B"/>
    <w:rsid w:val="006F40CB"/>
    <w:rsid w:val="006F4B23"/>
    <w:rsid w:val="006F52C2"/>
    <w:rsid w:val="006F54FC"/>
    <w:rsid w:val="006F55AC"/>
    <w:rsid w:val="006F585C"/>
    <w:rsid w:val="006F5937"/>
    <w:rsid w:val="006F600A"/>
    <w:rsid w:val="006F619C"/>
    <w:rsid w:val="006F6E12"/>
    <w:rsid w:val="006F6F95"/>
    <w:rsid w:val="006F71B0"/>
    <w:rsid w:val="006F74EC"/>
    <w:rsid w:val="006F763B"/>
    <w:rsid w:val="006F7AA4"/>
    <w:rsid w:val="006F7AF6"/>
    <w:rsid w:val="006F7B09"/>
    <w:rsid w:val="006F7CFA"/>
    <w:rsid w:val="006F7E39"/>
    <w:rsid w:val="006F7FBB"/>
    <w:rsid w:val="007001A8"/>
    <w:rsid w:val="007005DD"/>
    <w:rsid w:val="007008E4"/>
    <w:rsid w:val="00700B78"/>
    <w:rsid w:val="00700CDE"/>
    <w:rsid w:val="00700D41"/>
    <w:rsid w:val="00701690"/>
    <w:rsid w:val="00701CC4"/>
    <w:rsid w:val="00701DD8"/>
    <w:rsid w:val="00701E47"/>
    <w:rsid w:val="00701ED8"/>
    <w:rsid w:val="00702658"/>
    <w:rsid w:val="00702E13"/>
    <w:rsid w:val="00702E25"/>
    <w:rsid w:val="00703254"/>
    <w:rsid w:val="00703901"/>
    <w:rsid w:val="00703A25"/>
    <w:rsid w:val="00703F07"/>
    <w:rsid w:val="0070447E"/>
    <w:rsid w:val="007049FB"/>
    <w:rsid w:val="00704FEA"/>
    <w:rsid w:val="00704FFE"/>
    <w:rsid w:val="00705111"/>
    <w:rsid w:val="00705490"/>
    <w:rsid w:val="00705653"/>
    <w:rsid w:val="00705D24"/>
    <w:rsid w:val="00706032"/>
    <w:rsid w:val="007061E7"/>
    <w:rsid w:val="007062A5"/>
    <w:rsid w:val="00706CB2"/>
    <w:rsid w:val="00706E6B"/>
    <w:rsid w:val="00706E73"/>
    <w:rsid w:val="00706F7B"/>
    <w:rsid w:val="0070703B"/>
    <w:rsid w:val="0070763C"/>
    <w:rsid w:val="00707E77"/>
    <w:rsid w:val="007100EB"/>
    <w:rsid w:val="0071053C"/>
    <w:rsid w:val="00710BB5"/>
    <w:rsid w:val="00710DA6"/>
    <w:rsid w:val="00711096"/>
    <w:rsid w:val="0071135E"/>
    <w:rsid w:val="0071148C"/>
    <w:rsid w:val="00711CEB"/>
    <w:rsid w:val="00711E70"/>
    <w:rsid w:val="00711F4E"/>
    <w:rsid w:val="00712022"/>
    <w:rsid w:val="007120ED"/>
    <w:rsid w:val="007122B9"/>
    <w:rsid w:val="007122C6"/>
    <w:rsid w:val="00712474"/>
    <w:rsid w:val="007127CC"/>
    <w:rsid w:val="00712B1A"/>
    <w:rsid w:val="00712D96"/>
    <w:rsid w:val="0071307F"/>
    <w:rsid w:val="00713AB3"/>
    <w:rsid w:val="00713B11"/>
    <w:rsid w:val="00713C75"/>
    <w:rsid w:val="00713E7E"/>
    <w:rsid w:val="00714279"/>
    <w:rsid w:val="0071457B"/>
    <w:rsid w:val="007146A9"/>
    <w:rsid w:val="007155E2"/>
    <w:rsid w:val="00715661"/>
    <w:rsid w:val="0071572D"/>
    <w:rsid w:val="0071660D"/>
    <w:rsid w:val="007168EE"/>
    <w:rsid w:val="00717163"/>
    <w:rsid w:val="007174AA"/>
    <w:rsid w:val="00717C46"/>
    <w:rsid w:val="007204AC"/>
    <w:rsid w:val="00720B97"/>
    <w:rsid w:val="007214FB"/>
    <w:rsid w:val="00721570"/>
    <w:rsid w:val="007215B3"/>
    <w:rsid w:val="00721882"/>
    <w:rsid w:val="00721E8A"/>
    <w:rsid w:val="00722147"/>
    <w:rsid w:val="00722542"/>
    <w:rsid w:val="007226A7"/>
    <w:rsid w:val="00722FE2"/>
    <w:rsid w:val="00723096"/>
    <w:rsid w:val="0072393D"/>
    <w:rsid w:val="007239D8"/>
    <w:rsid w:val="00723ABF"/>
    <w:rsid w:val="00723BA1"/>
    <w:rsid w:val="007246E1"/>
    <w:rsid w:val="00725372"/>
    <w:rsid w:val="00725AC3"/>
    <w:rsid w:val="00725D73"/>
    <w:rsid w:val="00725D90"/>
    <w:rsid w:val="00725F99"/>
    <w:rsid w:val="00726423"/>
    <w:rsid w:val="007264E9"/>
    <w:rsid w:val="00726564"/>
    <w:rsid w:val="00726E71"/>
    <w:rsid w:val="00726F89"/>
    <w:rsid w:val="00727727"/>
    <w:rsid w:val="00727834"/>
    <w:rsid w:val="007279E8"/>
    <w:rsid w:val="00727D47"/>
    <w:rsid w:val="00727E2E"/>
    <w:rsid w:val="00727E51"/>
    <w:rsid w:val="00730432"/>
    <w:rsid w:val="007304C4"/>
    <w:rsid w:val="007306ED"/>
    <w:rsid w:val="00730923"/>
    <w:rsid w:val="007317C0"/>
    <w:rsid w:val="00731824"/>
    <w:rsid w:val="007319D2"/>
    <w:rsid w:val="007319D5"/>
    <w:rsid w:val="00731B68"/>
    <w:rsid w:val="00731F7E"/>
    <w:rsid w:val="007322A6"/>
    <w:rsid w:val="007324AB"/>
    <w:rsid w:val="00732DF2"/>
    <w:rsid w:val="00732F21"/>
    <w:rsid w:val="007334FC"/>
    <w:rsid w:val="007337A3"/>
    <w:rsid w:val="00733BC2"/>
    <w:rsid w:val="00733D49"/>
    <w:rsid w:val="00733E66"/>
    <w:rsid w:val="0073451F"/>
    <w:rsid w:val="007349ED"/>
    <w:rsid w:val="00734D70"/>
    <w:rsid w:val="00734DE1"/>
    <w:rsid w:val="00734E47"/>
    <w:rsid w:val="00735539"/>
    <w:rsid w:val="00735EAA"/>
    <w:rsid w:val="0073603E"/>
    <w:rsid w:val="007362C3"/>
    <w:rsid w:val="0073647F"/>
    <w:rsid w:val="007366EA"/>
    <w:rsid w:val="0073682F"/>
    <w:rsid w:val="00736DA6"/>
    <w:rsid w:val="0073703A"/>
    <w:rsid w:val="007379B5"/>
    <w:rsid w:val="007379DE"/>
    <w:rsid w:val="00737A25"/>
    <w:rsid w:val="00737A9D"/>
    <w:rsid w:val="00737B20"/>
    <w:rsid w:val="00737C45"/>
    <w:rsid w:val="00740393"/>
    <w:rsid w:val="00740BB5"/>
    <w:rsid w:val="00740BEC"/>
    <w:rsid w:val="00740E1F"/>
    <w:rsid w:val="00740F6E"/>
    <w:rsid w:val="00740FE5"/>
    <w:rsid w:val="0074156E"/>
    <w:rsid w:val="00741E9F"/>
    <w:rsid w:val="00742516"/>
    <w:rsid w:val="00742DE1"/>
    <w:rsid w:val="00742F39"/>
    <w:rsid w:val="00742FE6"/>
    <w:rsid w:val="00743225"/>
    <w:rsid w:val="007439C7"/>
    <w:rsid w:val="00743F2B"/>
    <w:rsid w:val="0074460A"/>
    <w:rsid w:val="0074462D"/>
    <w:rsid w:val="007446AA"/>
    <w:rsid w:val="00745453"/>
    <w:rsid w:val="007457B3"/>
    <w:rsid w:val="00745936"/>
    <w:rsid w:val="00745F1F"/>
    <w:rsid w:val="007464F7"/>
    <w:rsid w:val="00746A8B"/>
    <w:rsid w:val="007473AA"/>
    <w:rsid w:val="007473E5"/>
    <w:rsid w:val="0074764C"/>
    <w:rsid w:val="007476D3"/>
    <w:rsid w:val="00747927"/>
    <w:rsid w:val="00747A22"/>
    <w:rsid w:val="00747B27"/>
    <w:rsid w:val="00747BD1"/>
    <w:rsid w:val="00747CB6"/>
    <w:rsid w:val="00747D9C"/>
    <w:rsid w:val="00750123"/>
    <w:rsid w:val="00750333"/>
    <w:rsid w:val="00750832"/>
    <w:rsid w:val="0075180B"/>
    <w:rsid w:val="007518B1"/>
    <w:rsid w:val="00751921"/>
    <w:rsid w:val="0075197C"/>
    <w:rsid w:val="00751CFA"/>
    <w:rsid w:val="007524DC"/>
    <w:rsid w:val="007525B6"/>
    <w:rsid w:val="00752B4B"/>
    <w:rsid w:val="00752DDF"/>
    <w:rsid w:val="00752FD0"/>
    <w:rsid w:val="007530C5"/>
    <w:rsid w:val="007533B3"/>
    <w:rsid w:val="00753532"/>
    <w:rsid w:val="00753937"/>
    <w:rsid w:val="0075399C"/>
    <w:rsid w:val="00753BA1"/>
    <w:rsid w:val="00753FCD"/>
    <w:rsid w:val="007543F5"/>
    <w:rsid w:val="00754500"/>
    <w:rsid w:val="0075478E"/>
    <w:rsid w:val="0075494F"/>
    <w:rsid w:val="00754EEF"/>
    <w:rsid w:val="0075542B"/>
    <w:rsid w:val="0075575B"/>
    <w:rsid w:val="00755BAE"/>
    <w:rsid w:val="00755F21"/>
    <w:rsid w:val="00756598"/>
    <w:rsid w:val="007568EC"/>
    <w:rsid w:val="00756F3D"/>
    <w:rsid w:val="0075723D"/>
    <w:rsid w:val="00757BAD"/>
    <w:rsid w:val="00757DEA"/>
    <w:rsid w:val="00757F22"/>
    <w:rsid w:val="00760092"/>
    <w:rsid w:val="007603DD"/>
    <w:rsid w:val="00760574"/>
    <w:rsid w:val="00760C37"/>
    <w:rsid w:val="00760E11"/>
    <w:rsid w:val="00760F47"/>
    <w:rsid w:val="00761134"/>
    <w:rsid w:val="00761422"/>
    <w:rsid w:val="0076186B"/>
    <w:rsid w:val="00761909"/>
    <w:rsid w:val="00761B34"/>
    <w:rsid w:val="00761D25"/>
    <w:rsid w:val="0076276F"/>
    <w:rsid w:val="007627C2"/>
    <w:rsid w:val="00762878"/>
    <w:rsid w:val="00762967"/>
    <w:rsid w:val="00762CF5"/>
    <w:rsid w:val="00762DAA"/>
    <w:rsid w:val="00763152"/>
    <w:rsid w:val="007631C8"/>
    <w:rsid w:val="0076335A"/>
    <w:rsid w:val="00763409"/>
    <w:rsid w:val="007637A0"/>
    <w:rsid w:val="007637EF"/>
    <w:rsid w:val="00764187"/>
    <w:rsid w:val="0076421E"/>
    <w:rsid w:val="00764288"/>
    <w:rsid w:val="0076444A"/>
    <w:rsid w:val="007648C3"/>
    <w:rsid w:val="00764AE5"/>
    <w:rsid w:val="00765168"/>
    <w:rsid w:val="007655E9"/>
    <w:rsid w:val="00765AED"/>
    <w:rsid w:val="00765CD2"/>
    <w:rsid w:val="00765E81"/>
    <w:rsid w:val="00765F78"/>
    <w:rsid w:val="007662BA"/>
    <w:rsid w:val="007673A6"/>
    <w:rsid w:val="007676E4"/>
    <w:rsid w:val="0076797E"/>
    <w:rsid w:val="00767AD4"/>
    <w:rsid w:val="00767D92"/>
    <w:rsid w:val="00767F63"/>
    <w:rsid w:val="00770405"/>
    <w:rsid w:val="00770829"/>
    <w:rsid w:val="00770AC5"/>
    <w:rsid w:val="00770D35"/>
    <w:rsid w:val="00771C4E"/>
    <w:rsid w:val="00772074"/>
    <w:rsid w:val="0077246E"/>
    <w:rsid w:val="0077248E"/>
    <w:rsid w:val="007727A7"/>
    <w:rsid w:val="00772BA4"/>
    <w:rsid w:val="00772E27"/>
    <w:rsid w:val="00772EEA"/>
    <w:rsid w:val="007734D1"/>
    <w:rsid w:val="00773797"/>
    <w:rsid w:val="00773BB0"/>
    <w:rsid w:val="00773C3E"/>
    <w:rsid w:val="00774200"/>
    <w:rsid w:val="00774227"/>
    <w:rsid w:val="00774261"/>
    <w:rsid w:val="007743A9"/>
    <w:rsid w:val="00774640"/>
    <w:rsid w:val="007749FD"/>
    <w:rsid w:val="00774BB2"/>
    <w:rsid w:val="00775AF3"/>
    <w:rsid w:val="00775C7D"/>
    <w:rsid w:val="00776521"/>
    <w:rsid w:val="0077679B"/>
    <w:rsid w:val="007767D1"/>
    <w:rsid w:val="00776A4E"/>
    <w:rsid w:val="00776FC9"/>
    <w:rsid w:val="007770E7"/>
    <w:rsid w:val="007773D9"/>
    <w:rsid w:val="00777530"/>
    <w:rsid w:val="00777544"/>
    <w:rsid w:val="00777986"/>
    <w:rsid w:val="00777F01"/>
    <w:rsid w:val="0078079D"/>
    <w:rsid w:val="0078081E"/>
    <w:rsid w:val="00780865"/>
    <w:rsid w:val="007809FA"/>
    <w:rsid w:val="00781209"/>
    <w:rsid w:val="007813A2"/>
    <w:rsid w:val="0078154F"/>
    <w:rsid w:val="00781B00"/>
    <w:rsid w:val="00782164"/>
    <w:rsid w:val="00782386"/>
    <w:rsid w:val="00782CDB"/>
    <w:rsid w:val="00783063"/>
    <w:rsid w:val="0078308A"/>
    <w:rsid w:val="007831E5"/>
    <w:rsid w:val="00783488"/>
    <w:rsid w:val="0078359E"/>
    <w:rsid w:val="007837C0"/>
    <w:rsid w:val="007849DE"/>
    <w:rsid w:val="00784BEA"/>
    <w:rsid w:val="00784C54"/>
    <w:rsid w:val="00784F1A"/>
    <w:rsid w:val="007856B7"/>
    <w:rsid w:val="00785C76"/>
    <w:rsid w:val="00785D77"/>
    <w:rsid w:val="00785EB5"/>
    <w:rsid w:val="00786187"/>
    <w:rsid w:val="007862A3"/>
    <w:rsid w:val="007868FB"/>
    <w:rsid w:val="00786CE6"/>
    <w:rsid w:val="00786F41"/>
    <w:rsid w:val="007872A3"/>
    <w:rsid w:val="00787965"/>
    <w:rsid w:val="00787F62"/>
    <w:rsid w:val="00790098"/>
    <w:rsid w:val="007906C0"/>
    <w:rsid w:val="0079091D"/>
    <w:rsid w:val="007911FF"/>
    <w:rsid w:val="007912DC"/>
    <w:rsid w:val="00791782"/>
    <w:rsid w:val="00791B79"/>
    <w:rsid w:val="00791F92"/>
    <w:rsid w:val="007924C6"/>
    <w:rsid w:val="007925A6"/>
    <w:rsid w:val="0079277C"/>
    <w:rsid w:val="007928B8"/>
    <w:rsid w:val="00792A24"/>
    <w:rsid w:val="00792E75"/>
    <w:rsid w:val="00792EC9"/>
    <w:rsid w:val="007934DF"/>
    <w:rsid w:val="00793569"/>
    <w:rsid w:val="007937B4"/>
    <w:rsid w:val="00793822"/>
    <w:rsid w:val="00793F7F"/>
    <w:rsid w:val="0079414E"/>
    <w:rsid w:val="00794316"/>
    <w:rsid w:val="00794814"/>
    <w:rsid w:val="00794939"/>
    <w:rsid w:val="00795532"/>
    <w:rsid w:val="007958E6"/>
    <w:rsid w:val="00795A65"/>
    <w:rsid w:val="007964E3"/>
    <w:rsid w:val="00796A14"/>
    <w:rsid w:val="00796B58"/>
    <w:rsid w:val="00796C8B"/>
    <w:rsid w:val="00796DCE"/>
    <w:rsid w:val="0079785F"/>
    <w:rsid w:val="00797C14"/>
    <w:rsid w:val="00797CC3"/>
    <w:rsid w:val="007A0308"/>
    <w:rsid w:val="007A073B"/>
    <w:rsid w:val="007A0B90"/>
    <w:rsid w:val="007A15A9"/>
    <w:rsid w:val="007A186D"/>
    <w:rsid w:val="007A1C12"/>
    <w:rsid w:val="007A1CAD"/>
    <w:rsid w:val="007A27B4"/>
    <w:rsid w:val="007A28AF"/>
    <w:rsid w:val="007A290A"/>
    <w:rsid w:val="007A2AB4"/>
    <w:rsid w:val="007A3026"/>
    <w:rsid w:val="007A3489"/>
    <w:rsid w:val="007A3CE4"/>
    <w:rsid w:val="007A3D77"/>
    <w:rsid w:val="007A3D85"/>
    <w:rsid w:val="007A3ECC"/>
    <w:rsid w:val="007A3F69"/>
    <w:rsid w:val="007A4147"/>
    <w:rsid w:val="007A4346"/>
    <w:rsid w:val="007A48CD"/>
    <w:rsid w:val="007A4D22"/>
    <w:rsid w:val="007A519F"/>
    <w:rsid w:val="007A5AF4"/>
    <w:rsid w:val="007A5BBB"/>
    <w:rsid w:val="007A5EF1"/>
    <w:rsid w:val="007A64ED"/>
    <w:rsid w:val="007A6725"/>
    <w:rsid w:val="007A6DA1"/>
    <w:rsid w:val="007A7540"/>
    <w:rsid w:val="007A7549"/>
    <w:rsid w:val="007A7CF5"/>
    <w:rsid w:val="007A7DBB"/>
    <w:rsid w:val="007B03D7"/>
    <w:rsid w:val="007B054B"/>
    <w:rsid w:val="007B0A23"/>
    <w:rsid w:val="007B170D"/>
    <w:rsid w:val="007B173A"/>
    <w:rsid w:val="007B1F3E"/>
    <w:rsid w:val="007B210E"/>
    <w:rsid w:val="007B2347"/>
    <w:rsid w:val="007B24F1"/>
    <w:rsid w:val="007B274D"/>
    <w:rsid w:val="007B2BC9"/>
    <w:rsid w:val="007B3112"/>
    <w:rsid w:val="007B391D"/>
    <w:rsid w:val="007B3EEF"/>
    <w:rsid w:val="007B3F62"/>
    <w:rsid w:val="007B4143"/>
    <w:rsid w:val="007B490D"/>
    <w:rsid w:val="007B526C"/>
    <w:rsid w:val="007B54AA"/>
    <w:rsid w:val="007B5707"/>
    <w:rsid w:val="007B6380"/>
    <w:rsid w:val="007B721D"/>
    <w:rsid w:val="007B734A"/>
    <w:rsid w:val="007B7709"/>
    <w:rsid w:val="007B774A"/>
    <w:rsid w:val="007B77C7"/>
    <w:rsid w:val="007B7EA9"/>
    <w:rsid w:val="007C02B7"/>
    <w:rsid w:val="007C0345"/>
    <w:rsid w:val="007C03BD"/>
    <w:rsid w:val="007C0521"/>
    <w:rsid w:val="007C091C"/>
    <w:rsid w:val="007C0C55"/>
    <w:rsid w:val="007C0EBC"/>
    <w:rsid w:val="007C131F"/>
    <w:rsid w:val="007C182A"/>
    <w:rsid w:val="007C2210"/>
    <w:rsid w:val="007C2390"/>
    <w:rsid w:val="007C24E9"/>
    <w:rsid w:val="007C28AD"/>
    <w:rsid w:val="007C353A"/>
    <w:rsid w:val="007C35D2"/>
    <w:rsid w:val="007C3C02"/>
    <w:rsid w:val="007C3CF7"/>
    <w:rsid w:val="007C407C"/>
    <w:rsid w:val="007C42CE"/>
    <w:rsid w:val="007C44BD"/>
    <w:rsid w:val="007C5837"/>
    <w:rsid w:val="007C5883"/>
    <w:rsid w:val="007C5A49"/>
    <w:rsid w:val="007C5BF6"/>
    <w:rsid w:val="007C5DC4"/>
    <w:rsid w:val="007C6049"/>
    <w:rsid w:val="007C6D00"/>
    <w:rsid w:val="007C6F6C"/>
    <w:rsid w:val="007C70CF"/>
    <w:rsid w:val="007C763A"/>
    <w:rsid w:val="007C7DE7"/>
    <w:rsid w:val="007D03CF"/>
    <w:rsid w:val="007D06C2"/>
    <w:rsid w:val="007D07E3"/>
    <w:rsid w:val="007D0B38"/>
    <w:rsid w:val="007D0F07"/>
    <w:rsid w:val="007D0FF6"/>
    <w:rsid w:val="007D170C"/>
    <w:rsid w:val="007D180C"/>
    <w:rsid w:val="007D21A6"/>
    <w:rsid w:val="007D2A3F"/>
    <w:rsid w:val="007D2B55"/>
    <w:rsid w:val="007D315A"/>
    <w:rsid w:val="007D39B3"/>
    <w:rsid w:val="007D3A19"/>
    <w:rsid w:val="007D3C32"/>
    <w:rsid w:val="007D3E11"/>
    <w:rsid w:val="007D3FEF"/>
    <w:rsid w:val="007D42CD"/>
    <w:rsid w:val="007D4554"/>
    <w:rsid w:val="007D475D"/>
    <w:rsid w:val="007D4ABC"/>
    <w:rsid w:val="007D4FC6"/>
    <w:rsid w:val="007D513E"/>
    <w:rsid w:val="007D533C"/>
    <w:rsid w:val="007D5A05"/>
    <w:rsid w:val="007D6073"/>
    <w:rsid w:val="007D620F"/>
    <w:rsid w:val="007D695A"/>
    <w:rsid w:val="007D6BFB"/>
    <w:rsid w:val="007D74B7"/>
    <w:rsid w:val="007D7969"/>
    <w:rsid w:val="007D7A02"/>
    <w:rsid w:val="007D7DDF"/>
    <w:rsid w:val="007E01C5"/>
    <w:rsid w:val="007E04A7"/>
    <w:rsid w:val="007E076E"/>
    <w:rsid w:val="007E0797"/>
    <w:rsid w:val="007E080D"/>
    <w:rsid w:val="007E096C"/>
    <w:rsid w:val="007E0C5E"/>
    <w:rsid w:val="007E16B1"/>
    <w:rsid w:val="007E16CD"/>
    <w:rsid w:val="007E1866"/>
    <w:rsid w:val="007E19AF"/>
    <w:rsid w:val="007E1CF0"/>
    <w:rsid w:val="007E1E76"/>
    <w:rsid w:val="007E1F59"/>
    <w:rsid w:val="007E2350"/>
    <w:rsid w:val="007E2AC4"/>
    <w:rsid w:val="007E2B7E"/>
    <w:rsid w:val="007E2B98"/>
    <w:rsid w:val="007E2D3F"/>
    <w:rsid w:val="007E3581"/>
    <w:rsid w:val="007E3C46"/>
    <w:rsid w:val="007E3ECE"/>
    <w:rsid w:val="007E45BF"/>
    <w:rsid w:val="007E48E2"/>
    <w:rsid w:val="007E50E2"/>
    <w:rsid w:val="007E53F0"/>
    <w:rsid w:val="007E598B"/>
    <w:rsid w:val="007E5AC6"/>
    <w:rsid w:val="007E5CCE"/>
    <w:rsid w:val="007E63DD"/>
    <w:rsid w:val="007E6890"/>
    <w:rsid w:val="007E69DA"/>
    <w:rsid w:val="007E6C00"/>
    <w:rsid w:val="007E6C3E"/>
    <w:rsid w:val="007E6F9A"/>
    <w:rsid w:val="007E7268"/>
    <w:rsid w:val="007E746A"/>
    <w:rsid w:val="007E75AC"/>
    <w:rsid w:val="007E75B7"/>
    <w:rsid w:val="007E7D4C"/>
    <w:rsid w:val="007E7D5E"/>
    <w:rsid w:val="007F0B84"/>
    <w:rsid w:val="007F0EEC"/>
    <w:rsid w:val="007F1562"/>
    <w:rsid w:val="007F1999"/>
    <w:rsid w:val="007F1EB3"/>
    <w:rsid w:val="007F22F9"/>
    <w:rsid w:val="007F2682"/>
    <w:rsid w:val="007F2904"/>
    <w:rsid w:val="007F29BE"/>
    <w:rsid w:val="007F2B32"/>
    <w:rsid w:val="007F2BBF"/>
    <w:rsid w:val="007F2C6B"/>
    <w:rsid w:val="007F3A5E"/>
    <w:rsid w:val="007F446E"/>
    <w:rsid w:val="007F45AA"/>
    <w:rsid w:val="007F460B"/>
    <w:rsid w:val="007F4A81"/>
    <w:rsid w:val="007F4DA4"/>
    <w:rsid w:val="007F4FBB"/>
    <w:rsid w:val="007F65CD"/>
    <w:rsid w:val="007F6675"/>
    <w:rsid w:val="007F6A58"/>
    <w:rsid w:val="007F6A6A"/>
    <w:rsid w:val="007F6ED7"/>
    <w:rsid w:val="007F7ADA"/>
    <w:rsid w:val="007F7B7D"/>
    <w:rsid w:val="007F7CD1"/>
    <w:rsid w:val="007F7F4E"/>
    <w:rsid w:val="00801C81"/>
    <w:rsid w:val="00803214"/>
    <w:rsid w:val="00803671"/>
    <w:rsid w:val="00803717"/>
    <w:rsid w:val="0080395F"/>
    <w:rsid w:val="00803B0D"/>
    <w:rsid w:val="00803C8F"/>
    <w:rsid w:val="00803E28"/>
    <w:rsid w:val="0080400E"/>
    <w:rsid w:val="00804168"/>
    <w:rsid w:val="0080462F"/>
    <w:rsid w:val="00805274"/>
    <w:rsid w:val="008055C1"/>
    <w:rsid w:val="008058A9"/>
    <w:rsid w:val="00805AEB"/>
    <w:rsid w:val="00805E78"/>
    <w:rsid w:val="008066B7"/>
    <w:rsid w:val="00806DD6"/>
    <w:rsid w:val="00806DF2"/>
    <w:rsid w:val="00806EE6"/>
    <w:rsid w:val="0080711B"/>
    <w:rsid w:val="00807495"/>
    <w:rsid w:val="008076F1"/>
    <w:rsid w:val="0080795C"/>
    <w:rsid w:val="00807ACE"/>
    <w:rsid w:val="00807EB8"/>
    <w:rsid w:val="00807F3E"/>
    <w:rsid w:val="00810473"/>
    <w:rsid w:val="0081053A"/>
    <w:rsid w:val="008105EA"/>
    <w:rsid w:val="00810C08"/>
    <w:rsid w:val="00810E3F"/>
    <w:rsid w:val="00810F6A"/>
    <w:rsid w:val="00810F8F"/>
    <w:rsid w:val="008111B6"/>
    <w:rsid w:val="008112A4"/>
    <w:rsid w:val="0081173B"/>
    <w:rsid w:val="008119D0"/>
    <w:rsid w:val="00811A1B"/>
    <w:rsid w:val="00811A33"/>
    <w:rsid w:val="00811D4E"/>
    <w:rsid w:val="00811F99"/>
    <w:rsid w:val="008124F9"/>
    <w:rsid w:val="0081252B"/>
    <w:rsid w:val="008131F5"/>
    <w:rsid w:val="00813990"/>
    <w:rsid w:val="008139C5"/>
    <w:rsid w:val="00813F43"/>
    <w:rsid w:val="00813FB9"/>
    <w:rsid w:val="00814A90"/>
    <w:rsid w:val="00814C49"/>
    <w:rsid w:val="00814D2C"/>
    <w:rsid w:val="00814F9F"/>
    <w:rsid w:val="008150ED"/>
    <w:rsid w:val="00815B36"/>
    <w:rsid w:val="00815C09"/>
    <w:rsid w:val="00815D6F"/>
    <w:rsid w:val="00815EC0"/>
    <w:rsid w:val="008162F1"/>
    <w:rsid w:val="008164A5"/>
    <w:rsid w:val="00816C9E"/>
    <w:rsid w:val="00816CAB"/>
    <w:rsid w:val="00816D7E"/>
    <w:rsid w:val="00817335"/>
    <w:rsid w:val="00817597"/>
    <w:rsid w:val="00817B58"/>
    <w:rsid w:val="00817F7A"/>
    <w:rsid w:val="0082024D"/>
    <w:rsid w:val="00820376"/>
    <w:rsid w:val="00820FA8"/>
    <w:rsid w:val="0082196D"/>
    <w:rsid w:val="00821985"/>
    <w:rsid w:val="00821C75"/>
    <w:rsid w:val="00821D2A"/>
    <w:rsid w:val="008221D8"/>
    <w:rsid w:val="008224C0"/>
    <w:rsid w:val="0082267D"/>
    <w:rsid w:val="00822A1E"/>
    <w:rsid w:val="00822F57"/>
    <w:rsid w:val="00823878"/>
    <w:rsid w:val="00823BD7"/>
    <w:rsid w:val="00823F4C"/>
    <w:rsid w:val="0082400B"/>
    <w:rsid w:val="008242E7"/>
    <w:rsid w:val="00824A1E"/>
    <w:rsid w:val="008251FF"/>
    <w:rsid w:val="0082559D"/>
    <w:rsid w:val="008257E4"/>
    <w:rsid w:val="0082603D"/>
    <w:rsid w:val="008262C9"/>
    <w:rsid w:val="008263B8"/>
    <w:rsid w:val="00826459"/>
    <w:rsid w:val="0082684F"/>
    <w:rsid w:val="00826F2C"/>
    <w:rsid w:val="00827024"/>
    <w:rsid w:val="00827983"/>
    <w:rsid w:val="00827ABB"/>
    <w:rsid w:val="00827FB0"/>
    <w:rsid w:val="00830281"/>
    <w:rsid w:val="008303C9"/>
    <w:rsid w:val="008306F0"/>
    <w:rsid w:val="00830DCD"/>
    <w:rsid w:val="0083152F"/>
    <w:rsid w:val="00831F6A"/>
    <w:rsid w:val="008321B6"/>
    <w:rsid w:val="00832738"/>
    <w:rsid w:val="0083284F"/>
    <w:rsid w:val="00833174"/>
    <w:rsid w:val="00833243"/>
    <w:rsid w:val="00833496"/>
    <w:rsid w:val="0083367B"/>
    <w:rsid w:val="00833704"/>
    <w:rsid w:val="00833A68"/>
    <w:rsid w:val="00833AB6"/>
    <w:rsid w:val="00833ADC"/>
    <w:rsid w:val="0083400F"/>
    <w:rsid w:val="00834248"/>
    <w:rsid w:val="0083451E"/>
    <w:rsid w:val="00834536"/>
    <w:rsid w:val="00834840"/>
    <w:rsid w:val="008348A6"/>
    <w:rsid w:val="00835341"/>
    <w:rsid w:val="00835943"/>
    <w:rsid w:val="00835967"/>
    <w:rsid w:val="00835A30"/>
    <w:rsid w:val="0083678A"/>
    <w:rsid w:val="00836884"/>
    <w:rsid w:val="00836FC2"/>
    <w:rsid w:val="008371C2"/>
    <w:rsid w:val="008378BE"/>
    <w:rsid w:val="00837933"/>
    <w:rsid w:val="008379DF"/>
    <w:rsid w:val="00837BFE"/>
    <w:rsid w:val="00837DA2"/>
    <w:rsid w:val="00837ED4"/>
    <w:rsid w:val="0084052B"/>
    <w:rsid w:val="00840A10"/>
    <w:rsid w:val="0084115D"/>
    <w:rsid w:val="00841CBF"/>
    <w:rsid w:val="00841D95"/>
    <w:rsid w:val="00841EE8"/>
    <w:rsid w:val="00842017"/>
    <w:rsid w:val="008427EB"/>
    <w:rsid w:val="0084296B"/>
    <w:rsid w:val="00843273"/>
    <w:rsid w:val="00843593"/>
    <w:rsid w:val="00843814"/>
    <w:rsid w:val="00843DB4"/>
    <w:rsid w:val="0084421B"/>
    <w:rsid w:val="0084454A"/>
    <w:rsid w:val="00844C57"/>
    <w:rsid w:val="00844C86"/>
    <w:rsid w:val="00844DF0"/>
    <w:rsid w:val="008450D7"/>
    <w:rsid w:val="0084512C"/>
    <w:rsid w:val="00845617"/>
    <w:rsid w:val="00845854"/>
    <w:rsid w:val="00845865"/>
    <w:rsid w:val="0084595D"/>
    <w:rsid w:val="00845FA8"/>
    <w:rsid w:val="00846688"/>
    <w:rsid w:val="0084692A"/>
    <w:rsid w:val="00847086"/>
    <w:rsid w:val="0084798F"/>
    <w:rsid w:val="0085016D"/>
    <w:rsid w:val="008506D0"/>
    <w:rsid w:val="00850B95"/>
    <w:rsid w:val="00850E90"/>
    <w:rsid w:val="008510CD"/>
    <w:rsid w:val="008511C7"/>
    <w:rsid w:val="008513E3"/>
    <w:rsid w:val="00851DAC"/>
    <w:rsid w:val="00851DF9"/>
    <w:rsid w:val="00851E57"/>
    <w:rsid w:val="008520C4"/>
    <w:rsid w:val="0085215F"/>
    <w:rsid w:val="00852356"/>
    <w:rsid w:val="00852424"/>
    <w:rsid w:val="00852997"/>
    <w:rsid w:val="00852BBA"/>
    <w:rsid w:val="00852E29"/>
    <w:rsid w:val="008533BC"/>
    <w:rsid w:val="008535DA"/>
    <w:rsid w:val="00853608"/>
    <w:rsid w:val="00853A80"/>
    <w:rsid w:val="00853AFD"/>
    <w:rsid w:val="00853CF8"/>
    <w:rsid w:val="0085420C"/>
    <w:rsid w:val="008545B1"/>
    <w:rsid w:val="00854C18"/>
    <w:rsid w:val="00854F42"/>
    <w:rsid w:val="00855080"/>
    <w:rsid w:val="0085542C"/>
    <w:rsid w:val="008554C6"/>
    <w:rsid w:val="00855818"/>
    <w:rsid w:val="00855878"/>
    <w:rsid w:val="008558A5"/>
    <w:rsid w:val="00855DF5"/>
    <w:rsid w:val="00856343"/>
    <w:rsid w:val="00856D1F"/>
    <w:rsid w:val="00857106"/>
    <w:rsid w:val="00857109"/>
    <w:rsid w:val="008573D2"/>
    <w:rsid w:val="008574C0"/>
    <w:rsid w:val="008578AD"/>
    <w:rsid w:val="00857A1C"/>
    <w:rsid w:val="00857B71"/>
    <w:rsid w:val="00857BB9"/>
    <w:rsid w:val="00860A19"/>
    <w:rsid w:val="00861C65"/>
    <w:rsid w:val="00861CE4"/>
    <w:rsid w:val="0086283C"/>
    <w:rsid w:val="00862C6C"/>
    <w:rsid w:val="00862ECC"/>
    <w:rsid w:val="00862FB2"/>
    <w:rsid w:val="008631F3"/>
    <w:rsid w:val="00863881"/>
    <w:rsid w:val="0086388D"/>
    <w:rsid w:val="00863E4E"/>
    <w:rsid w:val="00863F13"/>
    <w:rsid w:val="0086420E"/>
    <w:rsid w:val="00864941"/>
    <w:rsid w:val="0086533F"/>
    <w:rsid w:val="008656B2"/>
    <w:rsid w:val="00865D64"/>
    <w:rsid w:val="00866426"/>
    <w:rsid w:val="0086666D"/>
    <w:rsid w:val="0086688B"/>
    <w:rsid w:val="00866E0D"/>
    <w:rsid w:val="00867161"/>
    <w:rsid w:val="008674C7"/>
    <w:rsid w:val="008676E8"/>
    <w:rsid w:val="00867BDA"/>
    <w:rsid w:val="00867D2B"/>
    <w:rsid w:val="008700CA"/>
    <w:rsid w:val="0087073F"/>
    <w:rsid w:val="00870CC4"/>
    <w:rsid w:val="00871065"/>
    <w:rsid w:val="008722BA"/>
    <w:rsid w:val="008729F5"/>
    <w:rsid w:val="00872BB1"/>
    <w:rsid w:val="008737F0"/>
    <w:rsid w:val="00874196"/>
    <w:rsid w:val="008742CE"/>
    <w:rsid w:val="00874465"/>
    <w:rsid w:val="008749D7"/>
    <w:rsid w:val="00874B70"/>
    <w:rsid w:val="00874D1B"/>
    <w:rsid w:val="0087574F"/>
    <w:rsid w:val="00875D1E"/>
    <w:rsid w:val="00876249"/>
    <w:rsid w:val="008764E2"/>
    <w:rsid w:val="00876F5F"/>
    <w:rsid w:val="0087729F"/>
    <w:rsid w:val="0087750D"/>
    <w:rsid w:val="00877887"/>
    <w:rsid w:val="008803A3"/>
    <w:rsid w:val="008808B1"/>
    <w:rsid w:val="0088095B"/>
    <w:rsid w:val="00880F5D"/>
    <w:rsid w:val="0088106F"/>
    <w:rsid w:val="0088118E"/>
    <w:rsid w:val="00881DB2"/>
    <w:rsid w:val="00881E05"/>
    <w:rsid w:val="008821E9"/>
    <w:rsid w:val="008821FF"/>
    <w:rsid w:val="00882439"/>
    <w:rsid w:val="008827D8"/>
    <w:rsid w:val="0088423A"/>
    <w:rsid w:val="008847A9"/>
    <w:rsid w:val="00884BC0"/>
    <w:rsid w:val="008850B4"/>
    <w:rsid w:val="00885539"/>
    <w:rsid w:val="00885EF3"/>
    <w:rsid w:val="0088627C"/>
    <w:rsid w:val="008865F0"/>
    <w:rsid w:val="0088694E"/>
    <w:rsid w:val="00886A4E"/>
    <w:rsid w:val="008870F0"/>
    <w:rsid w:val="00887461"/>
    <w:rsid w:val="008875D9"/>
    <w:rsid w:val="00887E42"/>
    <w:rsid w:val="00887E71"/>
    <w:rsid w:val="0089011A"/>
    <w:rsid w:val="008901A4"/>
    <w:rsid w:val="0089082E"/>
    <w:rsid w:val="0089098D"/>
    <w:rsid w:val="0089098E"/>
    <w:rsid w:val="00890C77"/>
    <w:rsid w:val="00890D3E"/>
    <w:rsid w:val="00890DFB"/>
    <w:rsid w:val="008916EA"/>
    <w:rsid w:val="00891721"/>
    <w:rsid w:val="00891831"/>
    <w:rsid w:val="008918B5"/>
    <w:rsid w:val="00891A4D"/>
    <w:rsid w:val="00891A54"/>
    <w:rsid w:val="00891AFE"/>
    <w:rsid w:val="00891B5A"/>
    <w:rsid w:val="00891C65"/>
    <w:rsid w:val="00891E33"/>
    <w:rsid w:val="008920CB"/>
    <w:rsid w:val="008924B9"/>
    <w:rsid w:val="008925B7"/>
    <w:rsid w:val="00892696"/>
    <w:rsid w:val="008926CE"/>
    <w:rsid w:val="00892822"/>
    <w:rsid w:val="00892A5D"/>
    <w:rsid w:val="00892F2D"/>
    <w:rsid w:val="008932EB"/>
    <w:rsid w:val="008933BC"/>
    <w:rsid w:val="0089387F"/>
    <w:rsid w:val="00893C52"/>
    <w:rsid w:val="00894206"/>
    <w:rsid w:val="0089492E"/>
    <w:rsid w:val="00894B00"/>
    <w:rsid w:val="00894D8D"/>
    <w:rsid w:val="008953F4"/>
    <w:rsid w:val="00895533"/>
    <w:rsid w:val="008955B4"/>
    <w:rsid w:val="008956EF"/>
    <w:rsid w:val="00895899"/>
    <w:rsid w:val="00895CC1"/>
    <w:rsid w:val="00895CEE"/>
    <w:rsid w:val="00895F38"/>
    <w:rsid w:val="00896149"/>
    <w:rsid w:val="008962BD"/>
    <w:rsid w:val="008966D5"/>
    <w:rsid w:val="00896AB0"/>
    <w:rsid w:val="00896BAE"/>
    <w:rsid w:val="0089774C"/>
    <w:rsid w:val="008978E4"/>
    <w:rsid w:val="00897AB1"/>
    <w:rsid w:val="00897AFD"/>
    <w:rsid w:val="008A0CC6"/>
    <w:rsid w:val="008A0F11"/>
    <w:rsid w:val="008A1068"/>
    <w:rsid w:val="008A1B31"/>
    <w:rsid w:val="008A1BFA"/>
    <w:rsid w:val="008A24D7"/>
    <w:rsid w:val="008A2589"/>
    <w:rsid w:val="008A28C7"/>
    <w:rsid w:val="008A2AE6"/>
    <w:rsid w:val="008A2D30"/>
    <w:rsid w:val="008A2E0E"/>
    <w:rsid w:val="008A2EB1"/>
    <w:rsid w:val="008A331C"/>
    <w:rsid w:val="008A338A"/>
    <w:rsid w:val="008A36E3"/>
    <w:rsid w:val="008A3E23"/>
    <w:rsid w:val="008A44BE"/>
    <w:rsid w:val="008A48D1"/>
    <w:rsid w:val="008A48F6"/>
    <w:rsid w:val="008A4F36"/>
    <w:rsid w:val="008A5A4A"/>
    <w:rsid w:val="008A5C0E"/>
    <w:rsid w:val="008A6434"/>
    <w:rsid w:val="008A659F"/>
    <w:rsid w:val="008A6CCB"/>
    <w:rsid w:val="008A709C"/>
    <w:rsid w:val="008A7B3B"/>
    <w:rsid w:val="008B0245"/>
    <w:rsid w:val="008B03E1"/>
    <w:rsid w:val="008B06F1"/>
    <w:rsid w:val="008B08AF"/>
    <w:rsid w:val="008B0EF2"/>
    <w:rsid w:val="008B0FAC"/>
    <w:rsid w:val="008B16A6"/>
    <w:rsid w:val="008B1B85"/>
    <w:rsid w:val="008B1E8A"/>
    <w:rsid w:val="008B20DF"/>
    <w:rsid w:val="008B29C5"/>
    <w:rsid w:val="008B2CC0"/>
    <w:rsid w:val="008B2ECF"/>
    <w:rsid w:val="008B35A0"/>
    <w:rsid w:val="008B3621"/>
    <w:rsid w:val="008B373B"/>
    <w:rsid w:val="008B38A5"/>
    <w:rsid w:val="008B3CB6"/>
    <w:rsid w:val="008B3F04"/>
    <w:rsid w:val="008B4153"/>
    <w:rsid w:val="008B4C3C"/>
    <w:rsid w:val="008B501C"/>
    <w:rsid w:val="008B51BB"/>
    <w:rsid w:val="008B55EE"/>
    <w:rsid w:val="008B61B4"/>
    <w:rsid w:val="008B6DB6"/>
    <w:rsid w:val="008B6FE4"/>
    <w:rsid w:val="008B7050"/>
    <w:rsid w:val="008B7052"/>
    <w:rsid w:val="008B743A"/>
    <w:rsid w:val="008B74AB"/>
    <w:rsid w:val="008B7C37"/>
    <w:rsid w:val="008C01B2"/>
    <w:rsid w:val="008C0368"/>
    <w:rsid w:val="008C07C2"/>
    <w:rsid w:val="008C0E8F"/>
    <w:rsid w:val="008C101F"/>
    <w:rsid w:val="008C1395"/>
    <w:rsid w:val="008C1583"/>
    <w:rsid w:val="008C16D9"/>
    <w:rsid w:val="008C1C91"/>
    <w:rsid w:val="008C22E6"/>
    <w:rsid w:val="008C260F"/>
    <w:rsid w:val="008C289D"/>
    <w:rsid w:val="008C2B83"/>
    <w:rsid w:val="008C2C61"/>
    <w:rsid w:val="008C3081"/>
    <w:rsid w:val="008C3852"/>
    <w:rsid w:val="008C3A63"/>
    <w:rsid w:val="008C3DE8"/>
    <w:rsid w:val="008C3E0C"/>
    <w:rsid w:val="008C473F"/>
    <w:rsid w:val="008C5247"/>
    <w:rsid w:val="008C524C"/>
    <w:rsid w:val="008C537B"/>
    <w:rsid w:val="008C5456"/>
    <w:rsid w:val="008C5719"/>
    <w:rsid w:val="008C609C"/>
    <w:rsid w:val="008C7025"/>
    <w:rsid w:val="008C70CA"/>
    <w:rsid w:val="008C7DBB"/>
    <w:rsid w:val="008C7E6B"/>
    <w:rsid w:val="008C7F81"/>
    <w:rsid w:val="008C7FF2"/>
    <w:rsid w:val="008D003B"/>
    <w:rsid w:val="008D0114"/>
    <w:rsid w:val="008D0449"/>
    <w:rsid w:val="008D0973"/>
    <w:rsid w:val="008D0E63"/>
    <w:rsid w:val="008D0F26"/>
    <w:rsid w:val="008D10B8"/>
    <w:rsid w:val="008D166B"/>
    <w:rsid w:val="008D1CCE"/>
    <w:rsid w:val="008D24F4"/>
    <w:rsid w:val="008D2E02"/>
    <w:rsid w:val="008D315D"/>
    <w:rsid w:val="008D34C7"/>
    <w:rsid w:val="008D353D"/>
    <w:rsid w:val="008D37ED"/>
    <w:rsid w:val="008D3F78"/>
    <w:rsid w:val="008D41DF"/>
    <w:rsid w:val="008D474C"/>
    <w:rsid w:val="008D49F6"/>
    <w:rsid w:val="008D51A9"/>
    <w:rsid w:val="008D528F"/>
    <w:rsid w:val="008D57A7"/>
    <w:rsid w:val="008D64DE"/>
    <w:rsid w:val="008D6885"/>
    <w:rsid w:val="008D69F7"/>
    <w:rsid w:val="008D6F52"/>
    <w:rsid w:val="008D6F9A"/>
    <w:rsid w:val="008D74F8"/>
    <w:rsid w:val="008D7937"/>
    <w:rsid w:val="008D7A74"/>
    <w:rsid w:val="008D7C9E"/>
    <w:rsid w:val="008E03F1"/>
    <w:rsid w:val="008E0434"/>
    <w:rsid w:val="008E0637"/>
    <w:rsid w:val="008E08E0"/>
    <w:rsid w:val="008E0A44"/>
    <w:rsid w:val="008E0E92"/>
    <w:rsid w:val="008E1106"/>
    <w:rsid w:val="008E1A10"/>
    <w:rsid w:val="008E2212"/>
    <w:rsid w:val="008E245A"/>
    <w:rsid w:val="008E269F"/>
    <w:rsid w:val="008E2A7B"/>
    <w:rsid w:val="008E2AF0"/>
    <w:rsid w:val="008E2D34"/>
    <w:rsid w:val="008E3621"/>
    <w:rsid w:val="008E36D5"/>
    <w:rsid w:val="008E3731"/>
    <w:rsid w:val="008E3955"/>
    <w:rsid w:val="008E39EB"/>
    <w:rsid w:val="008E3F2A"/>
    <w:rsid w:val="008E407A"/>
    <w:rsid w:val="008E41FB"/>
    <w:rsid w:val="008E46CB"/>
    <w:rsid w:val="008E4719"/>
    <w:rsid w:val="008E4D5C"/>
    <w:rsid w:val="008E50BE"/>
    <w:rsid w:val="008E6134"/>
    <w:rsid w:val="008E6974"/>
    <w:rsid w:val="008E6B98"/>
    <w:rsid w:val="008E7236"/>
    <w:rsid w:val="008E7719"/>
    <w:rsid w:val="008E7872"/>
    <w:rsid w:val="008E7BF1"/>
    <w:rsid w:val="008E7DDC"/>
    <w:rsid w:val="008F00A5"/>
    <w:rsid w:val="008F0578"/>
    <w:rsid w:val="008F0B02"/>
    <w:rsid w:val="008F0E9C"/>
    <w:rsid w:val="008F1DB7"/>
    <w:rsid w:val="008F1E46"/>
    <w:rsid w:val="008F2779"/>
    <w:rsid w:val="008F2ADF"/>
    <w:rsid w:val="008F2CA1"/>
    <w:rsid w:val="008F3432"/>
    <w:rsid w:val="008F3BB5"/>
    <w:rsid w:val="008F3C9F"/>
    <w:rsid w:val="008F3EF6"/>
    <w:rsid w:val="008F40F5"/>
    <w:rsid w:val="008F42D9"/>
    <w:rsid w:val="008F46F9"/>
    <w:rsid w:val="008F47F7"/>
    <w:rsid w:val="008F4ACB"/>
    <w:rsid w:val="008F4D20"/>
    <w:rsid w:val="008F5FD6"/>
    <w:rsid w:val="008F615D"/>
    <w:rsid w:val="008F628B"/>
    <w:rsid w:val="008F67BC"/>
    <w:rsid w:val="008F6FEB"/>
    <w:rsid w:val="008F70E3"/>
    <w:rsid w:val="008F7AC7"/>
    <w:rsid w:val="008F7F84"/>
    <w:rsid w:val="0090003E"/>
    <w:rsid w:val="0090015B"/>
    <w:rsid w:val="00900182"/>
    <w:rsid w:val="00900212"/>
    <w:rsid w:val="00900369"/>
    <w:rsid w:val="0090042B"/>
    <w:rsid w:val="00900436"/>
    <w:rsid w:val="009004C7"/>
    <w:rsid w:val="00900AD4"/>
    <w:rsid w:val="00900CCF"/>
    <w:rsid w:val="00900E8B"/>
    <w:rsid w:val="00901757"/>
    <w:rsid w:val="0090200C"/>
    <w:rsid w:val="0090294F"/>
    <w:rsid w:val="00903095"/>
    <w:rsid w:val="0090373C"/>
    <w:rsid w:val="009037B4"/>
    <w:rsid w:val="00905424"/>
    <w:rsid w:val="00905577"/>
    <w:rsid w:val="009057EB"/>
    <w:rsid w:val="00905DA0"/>
    <w:rsid w:val="00906010"/>
    <w:rsid w:val="0090602B"/>
    <w:rsid w:val="00906202"/>
    <w:rsid w:val="009064D2"/>
    <w:rsid w:val="00906B65"/>
    <w:rsid w:val="00906BCC"/>
    <w:rsid w:val="00906CAF"/>
    <w:rsid w:val="00906D1E"/>
    <w:rsid w:val="0090769C"/>
    <w:rsid w:val="00907B5B"/>
    <w:rsid w:val="009101E6"/>
    <w:rsid w:val="00910446"/>
    <w:rsid w:val="009109D6"/>
    <w:rsid w:val="00911597"/>
    <w:rsid w:val="009118AD"/>
    <w:rsid w:val="00911AEC"/>
    <w:rsid w:val="00911F06"/>
    <w:rsid w:val="00911F65"/>
    <w:rsid w:val="0091222B"/>
    <w:rsid w:val="00912A7B"/>
    <w:rsid w:val="00912B2F"/>
    <w:rsid w:val="00912C9E"/>
    <w:rsid w:val="00913391"/>
    <w:rsid w:val="00913839"/>
    <w:rsid w:val="0091388E"/>
    <w:rsid w:val="0091399F"/>
    <w:rsid w:val="00913B65"/>
    <w:rsid w:val="00914003"/>
    <w:rsid w:val="00914583"/>
    <w:rsid w:val="0091464C"/>
    <w:rsid w:val="00914DAA"/>
    <w:rsid w:val="00914E0C"/>
    <w:rsid w:val="0091539F"/>
    <w:rsid w:val="009153DC"/>
    <w:rsid w:val="00915685"/>
    <w:rsid w:val="00915930"/>
    <w:rsid w:val="00915996"/>
    <w:rsid w:val="00916846"/>
    <w:rsid w:val="00916A49"/>
    <w:rsid w:val="00916ACB"/>
    <w:rsid w:val="00916C72"/>
    <w:rsid w:val="0091719A"/>
    <w:rsid w:val="00917475"/>
    <w:rsid w:val="00917CCE"/>
    <w:rsid w:val="00917E6A"/>
    <w:rsid w:val="00920013"/>
    <w:rsid w:val="009202BB"/>
    <w:rsid w:val="009203E8"/>
    <w:rsid w:val="00920459"/>
    <w:rsid w:val="009206D4"/>
    <w:rsid w:val="00920790"/>
    <w:rsid w:val="00920BB9"/>
    <w:rsid w:val="00920ECC"/>
    <w:rsid w:val="00921416"/>
    <w:rsid w:val="009217A3"/>
    <w:rsid w:val="009222E2"/>
    <w:rsid w:val="0092301C"/>
    <w:rsid w:val="00923144"/>
    <w:rsid w:val="009232E8"/>
    <w:rsid w:val="00923559"/>
    <w:rsid w:val="00923B0A"/>
    <w:rsid w:val="00923B93"/>
    <w:rsid w:val="00923E93"/>
    <w:rsid w:val="0092414C"/>
    <w:rsid w:val="00924194"/>
    <w:rsid w:val="0092497A"/>
    <w:rsid w:val="0092550A"/>
    <w:rsid w:val="00925918"/>
    <w:rsid w:val="0092608C"/>
    <w:rsid w:val="00926ACF"/>
    <w:rsid w:val="00926F18"/>
    <w:rsid w:val="0092731A"/>
    <w:rsid w:val="009277F9"/>
    <w:rsid w:val="00927C6A"/>
    <w:rsid w:val="00927DE4"/>
    <w:rsid w:val="00930066"/>
    <w:rsid w:val="009300E6"/>
    <w:rsid w:val="00931142"/>
    <w:rsid w:val="009315D5"/>
    <w:rsid w:val="0093165E"/>
    <w:rsid w:val="00931CFA"/>
    <w:rsid w:val="009323C3"/>
    <w:rsid w:val="00932561"/>
    <w:rsid w:val="00932983"/>
    <w:rsid w:val="00932CAD"/>
    <w:rsid w:val="00932DAA"/>
    <w:rsid w:val="00932EC2"/>
    <w:rsid w:val="00933155"/>
    <w:rsid w:val="009332AF"/>
    <w:rsid w:val="00933533"/>
    <w:rsid w:val="00933558"/>
    <w:rsid w:val="00933DC9"/>
    <w:rsid w:val="00933EE8"/>
    <w:rsid w:val="00934224"/>
    <w:rsid w:val="00934749"/>
    <w:rsid w:val="00934958"/>
    <w:rsid w:val="00934B43"/>
    <w:rsid w:val="00935835"/>
    <w:rsid w:val="009359BF"/>
    <w:rsid w:val="00935BA5"/>
    <w:rsid w:val="00935E32"/>
    <w:rsid w:val="00936226"/>
    <w:rsid w:val="00936687"/>
    <w:rsid w:val="00936E0F"/>
    <w:rsid w:val="00936E55"/>
    <w:rsid w:val="00936FE5"/>
    <w:rsid w:val="00937323"/>
    <w:rsid w:val="00937927"/>
    <w:rsid w:val="009400B7"/>
    <w:rsid w:val="009406F2"/>
    <w:rsid w:val="00940774"/>
    <w:rsid w:val="00940822"/>
    <w:rsid w:val="00940CE9"/>
    <w:rsid w:val="00940EB9"/>
    <w:rsid w:val="0094171D"/>
    <w:rsid w:val="00941910"/>
    <w:rsid w:val="00941962"/>
    <w:rsid w:val="00942448"/>
    <w:rsid w:val="009424BB"/>
    <w:rsid w:val="009425A4"/>
    <w:rsid w:val="009428F5"/>
    <w:rsid w:val="00942BEC"/>
    <w:rsid w:val="00942D3F"/>
    <w:rsid w:val="00942D6D"/>
    <w:rsid w:val="00942D9F"/>
    <w:rsid w:val="0094328D"/>
    <w:rsid w:val="009436EF"/>
    <w:rsid w:val="00943911"/>
    <w:rsid w:val="00943994"/>
    <w:rsid w:val="00943CC7"/>
    <w:rsid w:val="009443FC"/>
    <w:rsid w:val="00945211"/>
    <w:rsid w:val="009459D6"/>
    <w:rsid w:val="0094605E"/>
    <w:rsid w:val="0094633B"/>
    <w:rsid w:val="00946400"/>
    <w:rsid w:val="00946F64"/>
    <w:rsid w:val="00946F8E"/>
    <w:rsid w:val="0094742D"/>
    <w:rsid w:val="00947707"/>
    <w:rsid w:val="00947737"/>
    <w:rsid w:val="00947996"/>
    <w:rsid w:val="00947E01"/>
    <w:rsid w:val="00947E73"/>
    <w:rsid w:val="009501C7"/>
    <w:rsid w:val="009503FD"/>
    <w:rsid w:val="0095066C"/>
    <w:rsid w:val="00950CC0"/>
    <w:rsid w:val="00950F8A"/>
    <w:rsid w:val="0095170A"/>
    <w:rsid w:val="00951A4D"/>
    <w:rsid w:val="00951A88"/>
    <w:rsid w:val="00951BAD"/>
    <w:rsid w:val="00951EA5"/>
    <w:rsid w:val="00952207"/>
    <w:rsid w:val="00952427"/>
    <w:rsid w:val="00952677"/>
    <w:rsid w:val="009528CC"/>
    <w:rsid w:val="00952C64"/>
    <w:rsid w:val="00952E12"/>
    <w:rsid w:val="00952E81"/>
    <w:rsid w:val="00953847"/>
    <w:rsid w:val="009538DE"/>
    <w:rsid w:val="00953A10"/>
    <w:rsid w:val="00953D48"/>
    <w:rsid w:val="00954005"/>
    <w:rsid w:val="009541D3"/>
    <w:rsid w:val="00954325"/>
    <w:rsid w:val="00954ADA"/>
    <w:rsid w:val="00954C34"/>
    <w:rsid w:val="00955285"/>
    <w:rsid w:val="00955989"/>
    <w:rsid w:val="00955D6A"/>
    <w:rsid w:val="00955E07"/>
    <w:rsid w:val="009564EF"/>
    <w:rsid w:val="0095689A"/>
    <w:rsid w:val="00956909"/>
    <w:rsid w:val="00956FFC"/>
    <w:rsid w:val="0095778A"/>
    <w:rsid w:val="00960392"/>
    <w:rsid w:val="009603FA"/>
    <w:rsid w:val="009604DE"/>
    <w:rsid w:val="00960DBB"/>
    <w:rsid w:val="00960DE3"/>
    <w:rsid w:val="009611AF"/>
    <w:rsid w:val="0096165F"/>
    <w:rsid w:val="00961941"/>
    <w:rsid w:val="00961FC6"/>
    <w:rsid w:val="0096238B"/>
    <w:rsid w:val="00963BE1"/>
    <w:rsid w:val="009646C6"/>
    <w:rsid w:val="00964916"/>
    <w:rsid w:val="00964972"/>
    <w:rsid w:val="009652A1"/>
    <w:rsid w:val="009658AE"/>
    <w:rsid w:val="00965F10"/>
    <w:rsid w:val="00965FB9"/>
    <w:rsid w:val="009660E4"/>
    <w:rsid w:val="009669D8"/>
    <w:rsid w:val="0096750A"/>
    <w:rsid w:val="00967AE9"/>
    <w:rsid w:val="00967EA9"/>
    <w:rsid w:val="00970125"/>
    <w:rsid w:val="009701C5"/>
    <w:rsid w:val="00970282"/>
    <w:rsid w:val="0097071E"/>
    <w:rsid w:val="009712B5"/>
    <w:rsid w:val="009712E6"/>
    <w:rsid w:val="00971676"/>
    <w:rsid w:val="009717BE"/>
    <w:rsid w:val="0097190D"/>
    <w:rsid w:val="00971B3B"/>
    <w:rsid w:val="00971F91"/>
    <w:rsid w:val="00972510"/>
    <w:rsid w:val="00972EB6"/>
    <w:rsid w:val="0097305C"/>
    <w:rsid w:val="009730AE"/>
    <w:rsid w:val="0097332B"/>
    <w:rsid w:val="00973430"/>
    <w:rsid w:val="009736D3"/>
    <w:rsid w:val="009736F4"/>
    <w:rsid w:val="00973F66"/>
    <w:rsid w:val="009741E6"/>
    <w:rsid w:val="009742A9"/>
    <w:rsid w:val="0097480F"/>
    <w:rsid w:val="00975162"/>
    <w:rsid w:val="00975558"/>
    <w:rsid w:val="00975748"/>
    <w:rsid w:val="0097579F"/>
    <w:rsid w:val="00975AC1"/>
    <w:rsid w:val="00975B4A"/>
    <w:rsid w:val="00975C77"/>
    <w:rsid w:val="00975EF0"/>
    <w:rsid w:val="0097613B"/>
    <w:rsid w:val="009761D2"/>
    <w:rsid w:val="009764F2"/>
    <w:rsid w:val="00976551"/>
    <w:rsid w:val="0097669A"/>
    <w:rsid w:val="00976B31"/>
    <w:rsid w:val="00976D23"/>
    <w:rsid w:val="00977022"/>
    <w:rsid w:val="00977088"/>
    <w:rsid w:val="00977149"/>
    <w:rsid w:val="0097729D"/>
    <w:rsid w:val="00980AD9"/>
    <w:rsid w:val="00980BC5"/>
    <w:rsid w:val="00980FDF"/>
    <w:rsid w:val="009811BC"/>
    <w:rsid w:val="00981294"/>
    <w:rsid w:val="00981411"/>
    <w:rsid w:val="0098151B"/>
    <w:rsid w:val="009819FE"/>
    <w:rsid w:val="00981A0B"/>
    <w:rsid w:val="00981A62"/>
    <w:rsid w:val="00981D4D"/>
    <w:rsid w:val="009825C1"/>
    <w:rsid w:val="009827E2"/>
    <w:rsid w:val="00982A26"/>
    <w:rsid w:val="00982E4E"/>
    <w:rsid w:val="009833C8"/>
    <w:rsid w:val="00983A3D"/>
    <w:rsid w:val="00983E5F"/>
    <w:rsid w:val="0098452C"/>
    <w:rsid w:val="009846E5"/>
    <w:rsid w:val="00984A00"/>
    <w:rsid w:val="00984D7C"/>
    <w:rsid w:val="00985539"/>
    <w:rsid w:val="0098558D"/>
    <w:rsid w:val="00985A2B"/>
    <w:rsid w:val="0098684A"/>
    <w:rsid w:val="00986B67"/>
    <w:rsid w:val="00986CF1"/>
    <w:rsid w:val="00986F2C"/>
    <w:rsid w:val="009872BD"/>
    <w:rsid w:val="009875E8"/>
    <w:rsid w:val="00987643"/>
    <w:rsid w:val="00987692"/>
    <w:rsid w:val="00987736"/>
    <w:rsid w:val="009877AE"/>
    <w:rsid w:val="00987898"/>
    <w:rsid w:val="00987C27"/>
    <w:rsid w:val="00987F71"/>
    <w:rsid w:val="0099020F"/>
    <w:rsid w:val="0099060A"/>
    <w:rsid w:val="009908A9"/>
    <w:rsid w:val="0099116E"/>
    <w:rsid w:val="00991177"/>
    <w:rsid w:val="009918BB"/>
    <w:rsid w:val="0099194B"/>
    <w:rsid w:val="009922FA"/>
    <w:rsid w:val="00992387"/>
    <w:rsid w:val="009925D0"/>
    <w:rsid w:val="00992B7D"/>
    <w:rsid w:val="00992D4B"/>
    <w:rsid w:val="00992F39"/>
    <w:rsid w:val="009932D3"/>
    <w:rsid w:val="00993341"/>
    <w:rsid w:val="00994522"/>
    <w:rsid w:val="0099499C"/>
    <w:rsid w:val="0099522E"/>
    <w:rsid w:val="009959A5"/>
    <w:rsid w:val="00995BE9"/>
    <w:rsid w:val="00995FAD"/>
    <w:rsid w:val="00996007"/>
    <w:rsid w:val="009961AF"/>
    <w:rsid w:val="00996959"/>
    <w:rsid w:val="00996D4D"/>
    <w:rsid w:val="00996F26"/>
    <w:rsid w:val="00996F98"/>
    <w:rsid w:val="009972B1"/>
    <w:rsid w:val="009975C9"/>
    <w:rsid w:val="009A0702"/>
    <w:rsid w:val="009A0FEC"/>
    <w:rsid w:val="009A1436"/>
    <w:rsid w:val="009A1539"/>
    <w:rsid w:val="009A16EE"/>
    <w:rsid w:val="009A1AD8"/>
    <w:rsid w:val="009A1C6C"/>
    <w:rsid w:val="009A228D"/>
    <w:rsid w:val="009A2986"/>
    <w:rsid w:val="009A29E9"/>
    <w:rsid w:val="009A2B2D"/>
    <w:rsid w:val="009A2C45"/>
    <w:rsid w:val="009A2D80"/>
    <w:rsid w:val="009A33C6"/>
    <w:rsid w:val="009A340B"/>
    <w:rsid w:val="009A3966"/>
    <w:rsid w:val="009A3D7A"/>
    <w:rsid w:val="009A3F9D"/>
    <w:rsid w:val="009A4211"/>
    <w:rsid w:val="009A4F41"/>
    <w:rsid w:val="009A5032"/>
    <w:rsid w:val="009A506C"/>
    <w:rsid w:val="009A5264"/>
    <w:rsid w:val="009A54E0"/>
    <w:rsid w:val="009A55BE"/>
    <w:rsid w:val="009A55E9"/>
    <w:rsid w:val="009A5874"/>
    <w:rsid w:val="009A59AD"/>
    <w:rsid w:val="009A5F29"/>
    <w:rsid w:val="009A5F36"/>
    <w:rsid w:val="009A6073"/>
    <w:rsid w:val="009A6464"/>
    <w:rsid w:val="009A76CB"/>
    <w:rsid w:val="009A7CC8"/>
    <w:rsid w:val="009A7D06"/>
    <w:rsid w:val="009A7EAF"/>
    <w:rsid w:val="009B0154"/>
    <w:rsid w:val="009B0AAF"/>
    <w:rsid w:val="009B2127"/>
    <w:rsid w:val="009B2ADC"/>
    <w:rsid w:val="009B3996"/>
    <w:rsid w:val="009B3F73"/>
    <w:rsid w:val="009B428B"/>
    <w:rsid w:val="009B4553"/>
    <w:rsid w:val="009B4672"/>
    <w:rsid w:val="009B4CFC"/>
    <w:rsid w:val="009B4E38"/>
    <w:rsid w:val="009B582A"/>
    <w:rsid w:val="009B5A55"/>
    <w:rsid w:val="009B5DC6"/>
    <w:rsid w:val="009B607B"/>
    <w:rsid w:val="009B696E"/>
    <w:rsid w:val="009B71BD"/>
    <w:rsid w:val="009B744F"/>
    <w:rsid w:val="009B7540"/>
    <w:rsid w:val="009B773E"/>
    <w:rsid w:val="009B7752"/>
    <w:rsid w:val="009B7770"/>
    <w:rsid w:val="009B7A63"/>
    <w:rsid w:val="009B7C66"/>
    <w:rsid w:val="009C0219"/>
    <w:rsid w:val="009C0243"/>
    <w:rsid w:val="009C0417"/>
    <w:rsid w:val="009C0478"/>
    <w:rsid w:val="009C060C"/>
    <w:rsid w:val="009C08E5"/>
    <w:rsid w:val="009C0C58"/>
    <w:rsid w:val="009C0F11"/>
    <w:rsid w:val="009C1A09"/>
    <w:rsid w:val="009C1A4D"/>
    <w:rsid w:val="009C1AE2"/>
    <w:rsid w:val="009C1CC3"/>
    <w:rsid w:val="009C1D05"/>
    <w:rsid w:val="009C1D19"/>
    <w:rsid w:val="009C229D"/>
    <w:rsid w:val="009C23E1"/>
    <w:rsid w:val="009C2400"/>
    <w:rsid w:val="009C251E"/>
    <w:rsid w:val="009C29E7"/>
    <w:rsid w:val="009C36BB"/>
    <w:rsid w:val="009C38D4"/>
    <w:rsid w:val="009C3C2A"/>
    <w:rsid w:val="009C512C"/>
    <w:rsid w:val="009C5549"/>
    <w:rsid w:val="009C6362"/>
    <w:rsid w:val="009C694F"/>
    <w:rsid w:val="009C6A80"/>
    <w:rsid w:val="009C6C6C"/>
    <w:rsid w:val="009C7260"/>
    <w:rsid w:val="009C7478"/>
    <w:rsid w:val="009C7660"/>
    <w:rsid w:val="009D032C"/>
    <w:rsid w:val="009D03A0"/>
    <w:rsid w:val="009D05E3"/>
    <w:rsid w:val="009D0746"/>
    <w:rsid w:val="009D0E44"/>
    <w:rsid w:val="009D16FC"/>
    <w:rsid w:val="009D1769"/>
    <w:rsid w:val="009D1A0B"/>
    <w:rsid w:val="009D1C06"/>
    <w:rsid w:val="009D1D2E"/>
    <w:rsid w:val="009D2437"/>
    <w:rsid w:val="009D25DF"/>
    <w:rsid w:val="009D2C04"/>
    <w:rsid w:val="009D3126"/>
    <w:rsid w:val="009D33C8"/>
    <w:rsid w:val="009D369C"/>
    <w:rsid w:val="009D3843"/>
    <w:rsid w:val="009D3991"/>
    <w:rsid w:val="009D3E2B"/>
    <w:rsid w:val="009D4318"/>
    <w:rsid w:val="009D46CE"/>
    <w:rsid w:val="009D493F"/>
    <w:rsid w:val="009D4A0B"/>
    <w:rsid w:val="009D4B82"/>
    <w:rsid w:val="009D4C5F"/>
    <w:rsid w:val="009D4C77"/>
    <w:rsid w:val="009D5568"/>
    <w:rsid w:val="009D6439"/>
    <w:rsid w:val="009D64C2"/>
    <w:rsid w:val="009D66E2"/>
    <w:rsid w:val="009D6C05"/>
    <w:rsid w:val="009D6D19"/>
    <w:rsid w:val="009D7176"/>
    <w:rsid w:val="009D72F0"/>
    <w:rsid w:val="009D746B"/>
    <w:rsid w:val="009D74F1"/>
    <w:rsid w:val="009D76AE"/>
    <w:rsid w:val="009E032A"/>
    <w:rsid w:val="009E03C8"/>
    <w:rsid w:val="009E09A4"/>
    <w:rsid w:val="009E134E"/>
    <w:rsid w:val="009E191E"/>
    <w:rsid w:val="009E19A1"/>
    <w:rsid w:val="009E1E3B"/>
    <w:rsid w:val="009E2161"/>
    <w:rsid w:val="009E26FF"/>
    <w:rsid w:val="009E27DF"/>
    <w:rsid w:val="009E2CDB"/>
    <w:rsid w:val="009E338D"/>
    <w:rsid w:val="009E33A1"/>
    <w:rsid w:val="009E33E6"/>
    <w:rsid w:val="009E3754"/>
    <w:rsid w:val="009E3E3C"/>
    <w:rsid w:val="009E3F74"/>
    <w:rsid w:val="009E43B6"/>
    <w:rsid w:val="009E49B7"/>
    <w:rsid w:val="009E4A93"/>
    <w:rsid w:val="009E534F"/>
    <w:rsid w:val="009E5960"/>
    <w:rsid w:val="009E5C82"/>
    <w:rsid w:val="009E6093"/>
    <w:rsid w:val="009E611B"/>
    <w:rsid w:val="009E64D4"/>
    <w:rsid w:val="009E6AC3"/>
    <w:rsid w:val="009E6CFA"/>
    <w:rsid w:val="009E6DE9"/>
    <w:rsid w:val="009E6EDA"/>
    <w:rsid w:val="009E7ABB"/>
    <w:rsid w:val="009E7AEB"/>
    <w:rsid w:val="009E7C65"/>
    <w:rsid w:val="009F0827"/>
    <w:rsid w:val="009F0BAC"/>
    <w:rsid w:val="009F0DC7"/>
    <w:rsid w:val="009F13F9"/>
    <w:rsid w:val="009F1426"/>
    <w:rsid w:val="009F1553"/>
    <w:rsid w:val="009F1647"/>
    <w:rsid w:val="009F20B4"/>
    <w:rsid w:val="009F25B5"/>
    <w:rsid w:val="009F2717"/>
    <w:rsid w:val="009F2E97"/>
    <w:rsid w:val="009F349C"/>
    <w:rsid w:val="009F369B"/>
    <w:rsid w:val="009F3717"/>
    <w:rsid w:val="009F387B"/>
    <w:rsid w:val="009F3D1E"/>
    <w:rsid w:val="009F3D4C"/>
    <w:rsid w:val="009F3E15"/>
    <w:rsid w:val="009F3F4F"/>
    <w:rsid w:val="009F3F6F"/>
    <w:rsid w:val="009F4BC5"/>
    <w:rsid w:val="009F508C"/>
    <w:rsid w:val="009F54F2"/>
    <w:rsid w:val="009F5520"/>
    <w:rsid w:val="009F5AFE"/>
    <w:rsid w:val="009F625C"/>
    <w:rsid w:val="009F6569"/>
    <w:rsid w:val="009F671F"/>
    <w:rsid w:val="009F680E"/>
    <w:rsid w:val="009F69E9"/>
    <w:rsid w:val="009F6DB6"/>
    <w:rsid w:val="009F6EDB"/>
    <w:rsid w:val="009F6FEE"/>
    <w:rsid w:val="009F7584"/>
    <w:rsid w:val="009F758B"/>
    <w:rsid w:val="009F75D9"/>
    <w:rsid w:val="009F7798"/>
    <w:rsid w:val="009F7900"/>
    <w:rsid w:val="009F7A9A"/>
    <w:rsid w:val="009F7BC6"/>
    <w:rsid w:val="009F7DFD"/>
    <w:rsid w:val="00A003DC"/>
    <w:rsid w:val="00A00A67"/>
    <w:rsid w:val="00A00C9F"/>
    <w:rsid w:val="00A01419"/>
    <w:rsid w:val="00A0181D"/>
    <w:rsid w:val="00A01AD1"/>
    <w:rsid w:val="00A01DFD"/>
    <w:rsid w:val="00A020D5"/>
    <w:rsid w:val="00A0238F"/>
    <w:rsid w:val="00A02390"/>
    <w:rsid w:val="00A02A6E"/>
    <w:rsid w:val="00A034B1"/>
    <w:rsid w:val="00A03940"/>
    <w:rsid w:val="00A03EB5"/>
    <w:rsid w:val="00A041E6"/>
    <w:rsid w:val="00A047DC"/>
    <w:rsid w:val="00A04DE2"/>
    <w:rsid w:val="00A04E43"/>
    <w:rsid w:val="00A0509A"/>
    <w:rsid w:val="00A05503"/>
    <w:rsid w:val="00A05B4A"/>
    <w:rsid w:val="00A063E6"/>
    <w:rsid w:val="00A064D3"/>
    <w:rsid w:val="00A066B9"/>
    <w:rsid w:val="00A068ED"/>
    <w:rsid w:val="00A069AD"/>
    <w:rsid w:val="00A076F3"/>
    <w:rsid w:val="00A07720"/>
    <w:rsid w:val="00A077C2"/>
    <w:rsid w:val="00A077EC"/>
    <w:rsid w:val="00A07C90"/>
    <w:rsid w:val="00A10303"/>
    <w:rsid w:val="00A106E2"/>
    <w:rsid w:val="00A10A17"/>
    <w:rsid w:val="00A10B5C"/>
    <w:rsid w:val="00A10B6E"/>
    <w:rsid w:val="00A11047"/>
    <w:rsid w:val="00A11217"/>
    <w:rsid w:val="00A1154D"/>
    <w:rsid w:val="00A11F3E"/>
    <w:rsid w:val="00A12557"/>
    <w:rsid w:val="00A13104"/>
    <w:rsid w:val="00A13181"/>
    <w:rsid w:val="00A13E52"/>
    <w:rsid w:val="00A13F1D"/>
    <w:rsid w:val="00A147DB"/>
    <w:rsid w:val="00A14948"/>
    <w:rsid w:val="00A15038"/>
    <w:rsid w:val="00A15245"/>
    <w:rsid w:val="00A15727"/>
    <w:rsid w:val="00A1592B"/>
    <w:rsid w:val="00A1593C"/>
    <w:rsid w:val="00A15FE8"/>
    <w:rsid w:val="00A160D9"/>
    <w:rsid w:val="00A16302"/>
    <w:rsid w:val="00A16EFF"/>
    <w:rsid w:val="00A17914"/>
    <w:rsid w:val="00A17B09"/>
    <w:rsid w:val="00A17B90"/>
    <w:rsid w:val="00A17FD1"/>
    <w:rsid w:val="00A20386"/>
    <w:rsid w:val="00A20A3A"/>
    <w:rsid w:val="00A20AD4"/>
    <w:rsid w:val="00A20C6F"/>
    <w:rsid w:val="00A20CDD"/>
    <w:rsid w:val="00A20D64"/>
    <w:rsid w:val="00A210B3"/>
    <w:rsid w:val="00A2130F"/>
    <w:rsid w:val="00A21330"/>
    <w:rsid w:val="00A2163E"/>
    <w:rsid w:val="00A221F5"/>
    <w:rsid w:val="00A228CE"/>
    <w:rsid w:val="00A22936"/>
    <w:rsid w:val="00A22CB7"/>
    <w:rsid w:val="00A23169"/>
    <w:rsid w:val="00A2344D"/>
    <w:rsid w:val="00A23680"/>
    <w:rsid w:val="00A23827"/>
    <w:rsid w:val="00A23E28"/>
    <w:rsid w:val="00A23FB3"/>
    <w:rsid w:val="00A24169"/>
    <w:rsid w:val="00A24301"/>
    <w:rsid w:val="00A2440E"/>
    <w:rsid w:val="00A24567"/>
    <w:rsid w:val="00A24A22"/>
    <w:rsid w:val="00A24D6A"/>
    <w:rsid w:val="00A24E66"/>
    <w:rsid w:val="00A24ED3"/>
    <w:rsid w:val="00A252EC"/>
    <w:rsid w:val="00A25771"/>
    <w:rsid w:val="00A2589D"/>
    <w:rsid w:val="00A25982"/>
    <w:rsid w:val="00A25B9B"/>
    <w:rsid w:val="00A262FD"/>
    <w:rsid w:val="00A26731"/>
    <w:rsid w:val="00A26778"/>
    <w:rsid w:val="00A268B6"/>
    <w:rsid w:val="00A2698F"/>
    <w:rsid w:val="00A26C57"/>
    <w:rsid w:val="00A26FE8"/>
    <w:rsid w:val="00A274E1"/>
    <w:rsid w:val="00A279EB"/>
    <w:rsid w:val="00A27B2C"/>
    <w:rsid w:val="00A27BFD"/>
    <w:rsid w:val="00A27E26"/>
    <w:rsid w:val="00A305F6"/>
    <w:rsid w:val="00A307C9"/>
    <w:rsid w:val="00A30802"/>
    <w:rsid w:val="00A30B37"/>
    <w:rsid w:val="00A311CF"/>
    <w:rsid w:val="00A315F9"/>
    <w:rsid w:val="00A3167F"/>
    <w:rsid w:val="00A316BE"/>
    <w:rsid w:val="00A31980"/>
    <w:rsid w:val="00A31EB1"/>
    <w:rsid w:val="00A32452"/>
    <w:rsid w:val="00A32760"/>
    <w:rsid w:val="00A32782"/>
    <w:rsid w:val="00A3304B"/>
    <w:rsid w:val="00A33069"/>
    <w:rsid w:val="00A333FE"/>
    <w:rsid w:val="00A3342E"/>
    <w:rsid w:val="00A345EE"/>
    <w:rsid w:val="00A34B45"/>
    <w:rsid w:val="00A34B77"/>
    <w:rsid w:val="00A34CC6"/>
    <w:rsid w:val="00A34CD9"/>
    <w:rsid w:val="00A34E84"/>
    <w:rsid w:val="00A353AC"/>
    <w:rsid w:val="00A355A4"/>
    <w:rsid w:val="00A358C4"/>
    <w:rsid w:val="00A35921"/>
    <w:rsid w:val="00A35AD1"/>
    <w:rsid w:val="00A35CA6"/>
    <w:rsid w:val="00A36151"/>
    <w:rsid w:val="00A362B5"/>
    <w:rsid w:val="00A368CE"/>
    <w:rsid w:val="00A36B52"/>
    <w:rsid w:val="00A37005"/>
    <w:rsid w:val="00A37751"/>
    <w:rsid w:val="00A37BD5"/>
    <w:rsid w:val="00A406FB"/>
    <w:rsid w:val="00A40E6F"/>
    <w:rsid w:val="00A410AD"/>
    <w:rsid w:val="00A4120B"/>
    <w:rsid w:val="00A4129C"/>
    <w:rsid w:val="00A41718"/>
    <w:rsid w:val="00A4179A"/>
    <w:rsid w:val="00A42214"/>
    <w:rsid w:val="00A423D7"/>
    <w:rsid w:val="00A42610"/>
    <w:rsid w:val="00A42626"/>
    <w:rsid w:val="00A42DE3"/>
    <w:rsid w:val="00A42F33"/>
    <w:rsid w:val="00A42F61"/>
    <w:rsid w:val="00A4319A"/>
    <w:rsid w:val="00A4389A"/>
    <w:rsid w:val="00A438A9"/>
    <w:rsid w:val="00A43AA4"/>
    <w:rsid w:val="00A44B10"/>
    <w:rsid w:val="00A44D42"/>
    <w:rsid w:val="00A45497"/>
    <w:rsid w:val="00A45E35"/>
    <w:rsid w:val="00A461F7"/>
    <w:rsid w:val="00A468C5"/>
    <w:rsid w:val="00A46E0A"/>
    <w:rsid w:val="00A4711B"/>
    <w:rsid w:val="00A47192"/>
    <w:rsid w:val="00A472F4"/>
    <w:rsid w:val="00A47313"/>
    <w:rsid w:val="00A47940"/>
    <w:rsid w:val="00A47D27"/>
    <w:rsid w:val="00A47E04"/>
    <w:rsid w:val="00A500FE"/>
    <w:rsid w:val="00A50481"/>
    <w:rsid w:val="00A5067E"/>
    <w:rsid w:val="00A50E13"/>
    <w:rsid w:val="00A50F3D"/>
    <w:rsid w:val="00A51AC2"/>
    <w:rsid w:val="00A51B73"/>
    <w:rsid w:val="00A520BA"/>
    <w:rsid w:val="00A5219F"/>
    <w:rsid w:val="00A5291A"/>
    <w:rsid w:val="00A52E69"/>
    <w:rsid w:val="00A53304"/>
    <w:rsid w:val="00A5339C"/>
    <w:rsid w:val="00A540B6"/>
    <w:rsid w:val="00A544B1"/>
    <w:rsid w:val="00A549C2"/>
    <w:rsid w:val="00A54C28"/>
    <w:rsid w:val="00A54E94"/>
    <w:rsid w:val="00A550F7"/>
    <w:rsid w:val="00A55344"/>
    <w:rsid w:val="00A55437"/>
    <w:rsid w:val="00A55C70"/>
    <w:rsid w:val="00A55FF6"/>
    <w:rsid w:val="00A56230"/>
    <w:rsid w:val="00A56820"/>
    <w:rsid w:val="00A56A21"/>
    <w:rsid w:val="00A56B43"/>
    <w:rsid w:val="00A5713B"/>
    <w:rsid w:val="00A571DB"/>
    <w:rsid w:val="00A571DC"/>
    <w:rsid w:val="00A57277"/>
    <w:rsid w:val="00A57A39"/>
    <w:rsid w:val="00A57C93"/>
    <w:rsid w:val="00A60531"/>
    <w:rsid w:val="00A60753"/>
    <w:rsid w:val="00A60829"/>
    <w:rsid w:val="00A60920"/>
    <w:rsid w:val="00A61F10"/>
    <w:rsid w:val="00A61FA2"/>
    <w:rsid w:val="00A6207B"/>
    <w:rsid w:val="00A625AA"/>
    <w:rsid w:val="00A6261C"/>
    <w:rsid w:val="00A62666"/>
    <w:rsid w:val="00A629E4"/>
    <w:rsid w:val="00A630E3"/>
    <w:rsid w:val="00A6335D"/>
    <w:rsid w:val="00A63BE9"/>
    <w:rsid w:val="00A63DEE"/>
    <w:rsid w:val="00A63F93"/>
    <w:rsid w:val="00A644BC"/>
    <w:rsid w:val="00A646F6"/>
    <w:rsid w:val="00A64778"/>
    <w:rsid w:val="00A64EDE"/>
    <w:rsid w:val="00A65427"/>
    <w:rsid w:val="00A6562F"/>
    <w:rsid w:val="00A65971"/>
    <w:rsid w:val="00A65A5F"/>
    <w:rsid w:val="00A65A71"/>
    <w:rsid w:val="00A65A79"/>
    <w:rsid w:val="00A65D94"/>
    <w:rsid w:val="00A65F2B"/>
    <w:rsid w:val="00A65F92"/>
    <w:rsid w:val="00A6622E"/>
    <w:rsid w:val="00A66333"/>
    <w:rsid w:val="00A664F0"/>
    <w:rsid w:val="00A66515"/>
    <w:rsid w:val="00A66759"/>
    <w:rsid w:val="00A6675B"/>
    <w:rsid w:val="00A669A1"/>
    <w:rsid w:val="00A66E7E"/>
    <w:rsid w:val="00A67298"/>
    <w:rsid w:val="00A6732F"/>
    <w:rsid w:val="00A6765A"/>
    <w:rsid w:val="00A67E5B"/>
    <w:rsid w:val="00A67E69"/>
    <w:rsid w:val="00A70008"/>
    <w:rsid w:val="00A70160"/>
    <w:rsid w:val="00A712CE"/>
    <w:rsid w:val="00A715FC"/>
    <w:rsid w:val="00A71711"/>
    <w:rsid w:val="00A71C8C"/>
    <w:rsid w:val="00A72133"/>
    <w:rsid w:val="00A721F2"/>
    <w:rsid w:val="00A722AE"/>
    <w:rsid w:val="00A7245A"/>
    <w:rsid w:val="00A7260B"/>
    <w:rsid w:val="00A72735"/>
    <w:rsid w:val="00A727FC"/>
    <w:rsid w:val="00A72E52"/>
    <w:rsid w:val="00A731FB"/>
    <w:rsid w:val="00A744F7"/>
    <w:rsid w:val="00A745CB"/>
    <w:rsid w:val="00A74705"/>
    <w:rsid w:val="00A74C13"/>
    <w:rsid w:val="00A752A3"/>
    <w:rsid w:val="00A7556C"/>
    <w:rsid w:val="00A759ED"/>
    <w:rsid w:val="00A7653D"/>
    <w:rsid w:val="00A76AC3"/>
    <w:rsid w:val="00A76EE7"/>
    <w:rsid w:val="00A76FF3"/>
    <w:rsid w:val="00A77473"/>
    <w:rsid w:val="00A778A2"/>
    <w:rsid w:val="00A77A53"/>
    <w:rsid w:val="00A77C1A"/>
    <w:rsid w:val="00A77EC0"/>
    <w:rsid w:val="00A8010B"/>
    <w:rsid w:val="00A80121"/>
    <w:rsid w:val="00A80179"/>
    <w:rsid w:val="00A802C5"/>
    <w:rsid w:val="00A80574"/>
    <w:rsid w:val="00A80604"/>
    <w:rsid w:val="00A81185"/>
    <w:rsid w:val="00A811D2"/>
    <w:rsid w:val="00A81458"/>
    <w:rsid w:val="00A816E2"/>
    <w:rsid w:val="00A81A6F"/>
    <w:rsid w:val="00A81D7C"/>
    <w:rsid w:val="00A82F81"/>
    <w:rsid w:val="00A8323B"/>
    <w:rsid w:val="00A8338C"/>
    <w:rsid w:val="00A8357F"/>
    <w:rsid w:val="00A83731"/>
    <w:rsid w:val="00A837CD"/>
    <w:rsid w:val="00A83A80"/>
    <w:rsid w:val="00A84172"/>
    <w:rsid w:val="00A841E7"/>
    <w:rsid w:val="00A8443B"/>
    <w:rsid w:val="00A84E4B"/>
    <w:rsid w:val="00A851F9"/>
    <w:rsid w:val="00A85606"/>
    <w:rsid w:val="00A85DE8"/>
    <w:rsid w:val="00A85F32"/>
    <w:rsid w:val="00A8603A"/>
    <w:rsid w:val="00A86A1C"/>
    <w:rsid w:val="00A86B4B"/>
    <w:rsid w:val="00A8717A"/>
    <w:rsid w:val="00A90034"/>
    <w:rsid w:val="00A902AB"/>
    <w:rsid w:val="00A90B56"/>
    <w:rsid w:val="00A90D89"/>
    <w:rsid w:val="00A90FEB"/>
    <w:rsid w:val="00A910A4"/>
    <w:rsid w:val="00A91C63"/>
    <w:rsid w:val="00A920EA"/>
    <w:rsid w:val="00A923CC"/>
    <w:rsid w:val="00A924F2"/>
    <w:rsid w:val="00A92C45"/>
    <w:rsid w:val="00A93867"/>
    <w:rsid w:val="00A93D00"/>
    <w:rsid w:val="00A94F22"/>
    <w:rsid w:val="00A96235"/>
    <w:rsid w:val="00A96408"/>
    <w:rsid w:val="00A96553"/>
    <w:rsid w:val="00A965EB"/>
    <w:rsid w:val="00A96858"/>
    <w:rsid w:val="00A969EC"/>
    <w:rsid w:val="00A96B5D"/>
    <w:rsid w:val="00A96BE5"/>
    <w:rsid w:val="00A978E1"/>
    <w:rsid w:val="00A97C5E"/>
    <w:rsid w:val="00A97FA5"/>
    <w:rsid w:val="00AA0019"/>
    <w:rsid w:val="00AA02BB"/>
    <w:rsid w:val="00AA052F"/>
    <w:rsid w:val="00AA0A03"/>
    <w:rsid w:val="00AA0B74"/>
    <w:rsid w:val="00AA1541"/>
    <w:rsid w:val="00AA1B0F"/>
    <w:rsid w:val="00AA1ED4"/>
    <w:rsid w:val="00AA220E"/>
    <w:rsid w:val="00AA2528"/>
    <w:rsid w:val="00AA25E5"/>
    <w:rsid w:val="00AA2DF9"/>
    <w:rsid w:val="00AA3333"/>
    <w:rsid w:val="00AA34A2"/>
    <w:rsid w:val="00AA37E8"/>
    <w:rsid w:val="00AA395B"/>
    <w:rsid w:val="00AA3D20"/>
    <w:rsid w:val="00AA3D27"/>
    <w:rsid w:val="00AA3DEC"/>
    <w:rsid w:val="00AA4446"/>
    <w:rsid w:val="00AA45F4"/>
    <w:rsid w:val="00AA497B"/>
    <w:rsid w:val="00AA4D5C"/>
    <w:rsid w:val="00AA4E37"/>
    <w:rsid w:val="00AA5063"/>
    <w:rsid w:val="00AA513E"/>
    <w:rsid w:val="00AA5597"/>
    <w:rsid w:val="00AA55E8"/>
    <w:rsid w:val="00AA5882"/>
    <w:rsid w:val="00AA5BA4"/>
    <w:rsid w:val="00AA5C50"/>
    <w:rsid w:val="00AA6693"/>
    <w:rsid w:val="00AA6D3E"/>
    <w:rsid w:val="00AA72C1"/>
    <w:rsid w:val="00AA7473"/>
    <w:rsid w:val="00AB0064"/>
    <w:rsid w:val="00AB08BE"/>
    <w:rsid w:val="00AB0988"/>
    <w:rsid w:val="00AB0B44"/>
    <w:rsid w:val="00AB0D03"/>
    <w:rsid w:val="00AB0F31"/>
    <w:rsid w:val="00AB111B"/>
    <w:rsid w:val="00AB1350"/>
    <w:rsid w:val="00AB2465"/>
    <w:rsid w:val="00AB24E7"/>
    <w:rsid w:val="00AB2CA5"/>
    <w:rsid w:val="00AB30C9"/>
    <w:rsid w:val="00AB3717"/>
    <w:rsid w:val="00AB388A"/>
    <w:rsid w:val="00AB3DB0"/>
    <w:rsid w:val="00AB44B7"/>
    <w:rsid w:val="00AB49AF"/>
    <w:rsid w:val="00AB4C80"/>
    <w:rsid w:val="00AB4F7F"/>
    <w:rsid w:val="00AB530A"/>
    <w:rsid w:val="00AB5518"/>
    <w:rsid w:val="00AB577C"/>
    <w:rsid w:val="00AB5A45"/>
    <w:rsid w:val="00AB5D8A"/>
    <w:rsid w:val="00AB66A4"/>
    <w:rsid w:val="00AB6A11"/>
    <w:rsid w:val="00AB6A15"/>
    <w:rsid w:val="00AB6C56"/>
    <w:rsid w:val="00AB6F93"/>
    <w:rsid w:val="00AB72E7"/>
    <w:rsid w:val="00AB7D97"/>
    <w:rsid w:val="00AB7FD7"/>
    <w:rsid w:val="00AC038C"/>
    <w:rsid w:val="00AC0458"/>
    <w:rsid w:val="00AC0A87"/>
    <w:rsid w:val="00AC0ABC"/>
    <w:rsid w:val="00AC1A1A"/>
    <w:rsid w:val="00AC1A45"/>
    <w:rsid w:val="00AC2CB1"/>
    <w:rsid w:val="00AC2DB3"/>
    <w:rsid w:val="00AC357C"/>
    <w:rsid w:val="00AC3629"/>
    <w:rsid w:val="00AC39D5"/>
    <w:rsid w:val="00AC3D5B"/>
    <w:rsid w:val="00AC421E"/>
    <w:rsid w:val="00AC4507"/>
    <w:rsid w:val="00AC45D8"/>
    <w:rsid w:val="00AC47B5"/>
    <w:rsid w:val="00AC4C43"/>
    <w:rsid w:val="00AC4EF2"/>
    <w:rsid w:val="00AC51F8"/>
    <w:rsid w:val="00AC51FC"/>
    <w:rsid w:val="00AC53FD"/>
    <w:rsid w:val="00AC5D6D"/>
    <w:rsid w:val="00AC64C0"/>
    <w:rsid w:val="00AC6761"/>
    <w:rsid w:val="00AC68DA"/>
    <w:rsid w:val="00AC6923"/>
    <w:rsid w:val="00AC696F"/>
    <w:rsid w:val="00AC6A77"/>
    <w:rsid w:val="00AC70AB"/>
    <w:rsid w:val="00AC7377"/>
    <w:rsid w:val="00AC7F72"/>
    <w:rsid w:val="00AD06E5"/>
    <w:rsid w:val="00AD082B"/>
    <w:rsid w:val="00AD08E7"/>
    <w:rsid w:val="00AD0CC9"/>
    <w:rsid w:val="00AD0CEC"/>
    <w:rsid w:val="00AD0EBB"/>
    <w:rsid w:val="00AD1191"/>
    <w:rsid w:val="00AD1400"/>
    <w:rsid w:val="00AD1925"/>
    <w:rsid w:val="00AD19DA"/>
    <w:rsid w:val="00AD1A4E"/>
    <w:rsid w:val="00AD2074"/>
    <w:rsid w:val="00AD2170"/>
    <w:rsid w:val="00AD222F"/>
    <w:rsid w:val="00AD22CF"/>
    <w:rsid w:val="00AD2320"/>
    <w:rsid w:val="00AD2575"/>
    <w:rsid w:val="00AD2C74"/>
    <w:rsid w:val="00AD2D1A"/>
    <w:rsid w:val="00AD30BB"/>
    <w:rsid w:val="00AD34A8"/>
    <w:rsid w:val="00AD356D"/>
    <w:rsid w:val="00AD3817"/>
    <w:rsid w:val="00AD4124"/>
    <w:rsid w:val="00AD543C"/>
    <w:rsid w:val="00AD54BC"/>
    <w:rsid w:val="00AD5A42"/>
    <w:rsid w:val="00AD5C58"/>
    <w:rsid w:val="00AD5D07"/>
    <w:rsid w:val="00AD62C0"/>
    <w:rsid w:val="00AD62C6"/>
    <w:rsid w:val="00AD66A8"/>
    <w:rsid w:val="00AD686A"/>
    <w:rsid w:val="00AD6D25"/>
    <w:rsid w:val="00AD73D8"/>
    <w:rsid w:val="00AD798C"/>
    <w:rsid w:val="00AE025B"/>
    <w:rsid w:val="00AE0B6D"/>
    <w:rsid w:val="00AE126F"/>
    <w:rsid w:val="00AE1441"/>
    <w:rsid w:val="00AE1B29"/>
    <w:rsid w:val="00AE1B2A"/>
    <w:rsid w:val="00AE1B70"/>
    <w:rsid w:val="00AE23CD"/>
    <w:rsid w:val="00AE2DE6"/>
    <w:rsid w:val="00AE32A3"/>
    <w:rsid w:val="00AE377D"/>
    <w:rsid w:val="00AE37C0"/>
    <w:rsid w:val="00AE3A11"/>
    <w:rsid w:val="00AE3A8F"/>
    <w:rsid w:val="00AE3BF5"/>
    <w:rsid w:val="00AE4198"/>
    <w:rsid w:val="00AE433F"/>
    <w:rsid w:val="00AE4406"/>
    <w:rsid w:val="00AE48A6"/>
    <w:rsid w:val="00AE4920"/>
    <w:rsid w:val="00AE4954"/>
    <w:rsid w:val="00AE4E8B"/>
    <w:rsid w:val="00AE5122"/>
    <w:rsid w:val="00AE5660"/>
    <w:rsid w:val="00AE665B"/>
    <w:rsid w:val="00AE6A42"/>
    <w:rsid w:val="00AE6E55"/>
    <w:rsid w:val="00AE6EC0"/>
    <w:rsid w:val="00AE7361"/>
    <w:rsid w:val="00AE74F7"/>
    <w:rsid w:val="00AE77E3"/>
    <w:rsid w:val="00AE7990"/>
    <w:rsid w:val="00AE7D7E"/>
    <w:rsid w:val="00AE7F41"/>
    <w:rsid w:val="00AF0748"/>
    <w:rsid w:val="00AF16C4"/>
    <w:rsid w:val="00AF1E07"/>
    <w:rsid w:val="00AF1EA5"/>
    <w:rsid w:val="00AF1FE3"/>
    <w:rsid w:val="00AF28EB"/>
    <w:rsid w:val="00AF2CA2"/>
    <w:rsid w:val="00AF398D"/>
    <w:rsid w:val="00AF3C11"/>
    <w:rsid w:val="00AF3EC6"/>
    <w:rsid w:val="00AF3ECC"/>
    <w:rsid w:val="00AF3F81"/>
    <w:rsid w:val="00AF4449"/>
    <w:rsid w:val="00AF4C55"/>
    <w:rsid w:val="00AF4E8E"/>
    <w:rsid w:val="00AF5013"/>
    <w:rsid w:val="00AF5286"/>
    <w:rsid w:val="00AF5447"/>
    <w:rsid w:val="00AF54A2"/>
    <w:rsid w:val="00AF54CF"/>
    <w:rsid w:val="00AF57C7"/>
    <w:rsid w:val="00AF5995"/>
    <w:rsid w:val="00AF5DDF"/>
    <w:rsid w:val="00AF6802"/>
    <w:rsid w:val="00AF6E6F"/>
    <w:rsid w:val="00AF72F1"/>
    <w:rsid w:val="00AF73DA"/>
    <w:rsid w:val="00AF7722"/>
    <w:rsid w:val="00AF77A0"/>
    <w:rsid w:val="00AF7B7B"/>
    <w:rsid w:val="00B00196"/>
    <w:rsid w:val="00B00277"/>
    <w:rsid w:val="00B00AE2"/>
    <w:rsid w:val="00B01407"/>
    <w:rsid w:val="00B0216A"/>
    <w:rsid w:val="00B025A7"/>
    <w:rsid w:val="00B02791"/>
    <w:rsid w:val="00B02A60"/>
    <w:rsid w:val="00B02E78"/>
    <w:rsid w:val="00B0306A"/>
    <w:rsid w:val="00B032FC"/>
    <w:rsid w:val="00B03B7E"/>
    <w:rsid w:val="00B04509"/>
    <w:rsid w:val="00B047D0"/>
    <w:rsid w:val="00B04A4E"/>
    <w:rsid w:val="00B050E2"/>
    <w:rsid w:val="00B05933"/>
    <w:rsid w:val="00B05FA7"/>
    <w:rsid w:val="00B0612B"/>
    <w:rsid w:val="00B06A0D"/>
    <w:rsid w:val="00B0733C"/>
    <w:rsid w:val="00B07AC7"/>
    <w:rsid w:val="00B07B77"/>
    <w:rsid w:val="00B07D9E"/>
    <w:rsid w:val="00B07F92"/>
    <w:rsid w:val="00B10185"/>
    <w:rsid w:val="00B101CF"/>
    <w:rsid w:val="00B1029F"/>
    <w:rsid w:val="00B10333"/>
    <w:rsid w:val="00B10906"/>
    <w:rsid w:val="00B10D9D"/>
    <w:rsid w:val="00B10EFC"/>
    <w:rsid w:val="00B10FF6"/>
    <w:rsid w:val="00B1168A"/>
    <w:rsid w:val="00B11842"/>
    <w:rsid w:val="00B119EA"/>
    <w:rsid w:val="00B124DA"/>
    <w:rsid w:val="00B12611"/>
    <w:rsid w:val="00B126F3"/>
    <w:rsid w:val="00B128E0"/>
    <w:rsid w:val="00B12964"/>
    <w:rsid w:val="00B12D78"/>
    <w:rsid w:val="00B132C0"/>
    <w:rsid w:val="00B13312"/>
    <w:rsid w:val="00B133D2"/>
    <w:rsid w:val="00B13AF4"/>
    <w:rsid w:val="00B13B26"/>
    <w:rsid w:val="00B14274"/>
    <w:rsid w:val="00B143C8"/>
    <w:rsid w:val="00B145A6"/>
    <w:rsid w:val="00B1468E"/>
    <w:rsid w:val="00B149E0"/>
    <w:rsid w:val="00B14F63"/>
    <w:rsid w:val="00B15681"/>
    <w:rsid w:val="00B15917"/>
    <w:rsid w:val="00B15A8A"/>
    <w:rsid w:val="00B164CF"/>
    <w:rsid w:val="00B16CE4"/>
    <w:rsid w:val="00B16D72"/>
    <w:rsid w:val="00B16E21"/>
    <w:rsid w:val="00B17301"/>
    <w:rsid w:val="00B1742E"/>
    <w:rsid w:val="00B1786C"/>
    <w:rsid w:val="00B17BC7"/>
    <w:rsid w:val="00B17E3B"/>
    <w:rsid w:val="00B20426"/>
    <w:rsid w:val="00B20972"/>
    <w:rsid w:val="00B21132"/>
    <w:rsid w:val="00B220C1"/>
    <w:rsid w:val="00B220C5"/>
    <w:rsid w:val="00B2220C"/>
    <w:rsid w:val="00B22928"/>
    <w:rsid w:val="00B22D5B"/>
    <w:rsid w:val="00B22ECE"/>
    <w:rsid w:val="00B22FC0"/>
    <w:rsid w:val="00B23093"/>
    <w:rsid w:val="00B2360C"/>
    <w:rsid w:val="00B238DE"/>
    <w:rsid w:val="00B247CD"/>
    <w:rsid w:val="00B24D12"/>
    <w:rsid w:val="00B24F43"/>
    <w:rsid w:val="00B2615E"/>
    <w:rsid w:val="00B26BFE"/>
    <w:rsid w:val="00B27775"/>
    <w:rsid w:val="00B30367"/>
    <w:rsid w:val="00B308E8"/>
    <w:rsid w:val="00B30AFF"/>
    <w:rsid w:val="00B30BA5"/>
    <w:rsid w:val="00B30FF4"/>
    <w:rsid w:val="00B31431"/>
    <w:rsid w:val="00B32299"/>
    <w:rsid w:val="00B3237E"/>
    <w:rsid w:val="00B32718"/>
    <w:rsid w:val="00B32B45"/>
    <w:rsid w:val="00B32F08"/>
    <w:rsid w:val="00B32F74"/>
    <w:rsid w:val="00B33A73"/>
    <w:rsid w:val="00B33B7E"/>
    <w:rsid w:val="00B33D25"/>
    <w:rsid w:val="00B34097"/>
    <w:rsid w:val="00B34293"/>
    <w:rsid w:val="00B34675"/>
    <w:rsid w:val="00B34770"/>
    <w:rsid w:val="00B34E52"/>
    <w:rsid w:val="00B369A1"/>
    <w:rsid w:val="00B36A51"/>
    <w:rsid w:val="00B36E70"/>
    <w:rsid w:val="00B37B04"/>
    <w:rsid w:val="00B37C55"/>
    <w:rsid w:val="00B37EC4"/>
    <w:rsid w:val="00B401EF"/>
    <w:rsid w:val="00B40231"/>
    <w:rsid w:val="00B40787"/>
    <w:rsid w:val="00B407C9"/>
    <w:rsid w:val="00B40B22"/>
    <w:rsid w:val="00B41005"/>
    <w:rsid w:val="00B414FD"/>
    <w:rsid w:val="00B416B7"/>
    <w:rsid w:val="00B41AF2"/>
    <w:rsid w:val="00B41AFA"/>
    <w:rsid w:val="00B4285C"/>
    <w:rsid w:val="00B428DE"/>
    <w:rsid w:val="00B43444"/>
    <w:rsid w:val="00B43784"/>
    <w:rsid w:val="00B43918"/>
    <w:rsid w:val="00B442E6"/>
    <w:rsid w:val="00B4440F"/>
    <w:rsid w:val="00B44992"/>
    <w:rsid w:val="00B449E9"/>
    <w:rsid w:val="00B44B3B"/>
    <w:rsid w:val="00B458BA"/>
    <w:rsid w:val="00B458C1"/>
    <w:rsid w:val="00B45A9B"/>
    <w:rsid w:val="00B45D30"/>
    <w:rsid w:val="00B45D96"/>
    <w:rsid w:val="00B4692E"/>
    <w:rsid w:val="00B46D04"/>
    <w:rsid w:val="00B46E87"/>
    <w:rsid w:val="00B46FD3"/>
    <w:rsid w:val="00B473AB"/>
    <w:rsid w:val="00B47805"/>
    <w:rsid w:val="00B500B7"/>
    <w:rsid w:val="00B503CF"/>
    <w:rsid w:val="00B504B7"/>
    <w:rsid w:val="00B50952"/>
    <w:rsid w:val="00B50C34"/>
    <w:rsid w:val="00B50C91"/>
    <w:rsid w:val="00B521F9"/>
    <w:rsid w:val="00B52606"/>
    <w:rsid w:val="00B52730"/>
    <w:rsid w:val="00B52AC3"/>
    <w:rsid w:val="00B52C62"/>
    <w:rsid w:val="00B53117"/>
    <w:rsid w:val="00B53A0B"/>
    <w:rsid w:val="00B53E8B"/>
    <w:rsid w:val="00B5454E"/>
    <w:rsid w:val="00B54F6D"/>
    <w:rsid w:val="00B553E0"/>
    <w:rsid w:val="00B56383"/>
    <w:rsid w:val="00B565DD"/>
    <w:rsid w:val="00B56658"/>
    <w:rsid w:val="00B56897"/>
    <w:rsid w:val="00B56B45"/>
    <w:rsid w:val="00B56D96"/>
    <w:rsid w:val="00B57084"/>
    <w:rsid w:val="00B57158"/>
    <w:rsid w:val="00B577E1"/>
    <w:rsid w:val="00B5798A"/>
    <w:rsid w:val="00B57C71"/>
    <w:rsid w:val="00B61466"/>
    <w:rsid w:val="00B61734"/>
    <w:rsid w:val="00B61A42"/>
    <w:rsid w:val="00B622AC"/>
    <w:rsid w:val="00B623B6"/>
    <w:rsid w:val="00B62669"/>
    <w:rsid w:val="00B62B7A"/>
    <w:rsid w:val="00B62FFC"/>
    <w:rsid w:val="00B63225"/>
    <w:rsid w:val="00B637E0"/>
    <w:rsid w:val="00B6381B"/>
    <w:rsid w:val="00B6418D"/>
    <w:rsid w:val="00B64601"/>
    <w:rsid w:val="00B64A5C"/>
    <w:rsid w:val="00B64C5B"/>
    <w:rsid w:val="00B64F4C"/>
    <w:rsid w:val="00B64F9B"/>
    <w:rsid w:val="00B65684"/>
    <w:rsid w:val="00B65B09"/>
    <w:rsid w:val="00B665AF"/>
    <w:rsid w:val="00B66EFF"/>
    <w:rsid w:val="00B66F2A"/>
    <w:rsid w:val="00B673AC"/>
    <w:rsid w:val="00B7024F"/>
    <w:rsid w:val="00B7089E"/>
    <w:rsid w:val="00B708CF"/>
    <w:rsid w:val="00B70D00"/>
    <w:rsid w:val="00B70D38"/>
    <w:rsid w:val="00B70FAD"/>
    <w:rsid w:val="00B71441"/>
    <w:rsid w:val="00B71A4F"/>
    <w:rsid w:val="00B722AD"/>
    <w:rsid w:val="00B72996"/>
    <w:rsid w:val="00B72FEF"/>
    <w:rsid w:val="00B73A79"/>
    <w:rsid w:val="00B73C4A"/>
    <w:rsid w:val="00B73F37"/>
    <w:rsid w:val="00B74020"/>
    <w:rsid w:val="00B7403B"/>
    <w:rsid w:val="00B747DD"/>
    <w:rsid w:val="00B74A7B"/>
    <w:rsid w:val="00B74B0D"/>
    <w:rsid w:val="00B74FC6"/>
    <w:rsid w:val="00B75260"/>
    <w:rsid w:val="00B75DCD"/>
    <w:rsid w:val="00B76593"/>
    <w:rsid w:val="00B76770"/>
    <w:rsid w:val="00B7691D"/>
    <w:rsid w:val="00B772AE"/>
    <w:rsid w:val="00B77776"/>
    <w:rsid w:val="00B77A2B"/>
    <w:rsid w:val="00B80040"/>
    <w:rsid w:val="00B8023E"/>
    <w:rsid w:val="00B80672"/>
    <w:rsid w:val="00B80C31"/>
    <w:rsid w:val="00B80E09"/>
    <w:rsid w:val="00B82155"/>
    <w:rsid w:val="00B82884"/>
    <w:rsid w:val="00B82BA1"/>
    <w:rsid w:val="00B82CC1"/>
    <w:rsid w:val="00B82E03"/>
    <w:rsid w:val="00B835E3"/>
    <w:rsid w:val="00B83963"/>
    <w:rsid w:val="00B83AB2"/>
    <w:rsid w:val="00B83BFE"/>
    <w:rsid w:val="00B83CA8"/>
    <w:rsid w:val="00B841DE"/>
    <w:rsid w:val="00B84701"/>
    <w:rsid w:val="00B84716"/>
    <w:rsid w:val="00B84AB3"/>
    <w:rsid w:val="00B852D1"/>
    <w:rsid w:val="00B8545B"/>
    <w:rsid w:val="00B8566A"/>
    <w:rsid w:val="00B85902"/>
    <w:rsid w:val="00B85A02"/>
    <w:rsid w:val="00B86678"/>
    <w:rsid w:val="00B86D45"/>
    <w:rsid w:val="00B878A8"/>
    <w:rsid w:val="00B87B07"/>
    <w:rsid w:val="00B87D77"/>
    <w:rsid w:val="00B906CA"/>
    <w:rsid w:val="00B9072F"/>
    <w:rsid w:val="00B9103F"/>
    <w:rsid w:val="00B91195"/>
    <w:rsid w:val="00B9153B"/>
    <w:rsid w:val="00B91610"/>
    <w:rsid w:val="00B91996"/>
    <w:rsid w:val="00B91997"/>
    <w:rsid w:val="00B91B9C"/>
    <w:rsid w:val="00B91DAB"/>
    <w:rsid w:val="00B91FC4"/>
    <w:rsid w:val="00B923A7"/>
    <w:rsid w:val="00B92B78"/>
    <w:rsid w:val="00B92D89"/>
    <w:rsid w:val="00B92E60"/>
    <w:rsid w:val="00B93175"/>
    <w:rsid w:val="00B93200"/>
    <w:rsid w:val="00B9361B"/>
    <w:rsid w:val="00B9373E"/>
    <w:rsid w:val="00B9385B"/>
    <w:rsid w:val="00B93E1F"/>
    <w:rsid w:val="00B93FDD"/>
    <w:rsid w:val="00B94B2E"/>
    <w:rsid w:val="00B95B7D"/>
    <w:rsid w:val="00B95F4E"/>
    <w:rsid w:val="00B96117"/>
    <w:rsid w:val="00B96488"/>
    <w:rsid w:val="00B967A1"/>
    <w:rsid w:val="00B96AC8"/>
    <w:rsid w:val="00B971D3"/>
    <w:rsid w:val="00B979B2"/>
    <w:rsid w:val="00B979C9"/>
    <w:rsid w:val="00B97A77"/>
    <w:rsid w:val="00B97B0E"/>
    <w:rsid w:val="00B97E22"/>
    <w:rsid w:val="00B97F79"/>
    <w:rsid w:val="00BA00FA"/>
    <w:rsid w:val="00BA0B34"/>
    <w:rsid w:val="00BA0EC9"/>
    <w:rsid w:val="00BA10FF"/>
    <w:rsid w:val="00BA1803"/>
    <w:rsid w:val="00BA19A1"/>
    <w:rsid w:val="00BA1F8B"/>
    <w:rsid w:val="00BA2226"/>
    <w:rsid w:val="00BA2BBB"/>
    <w:rsid w:val="00BA3338"/>
    <w:rsid w:val="00BA34CC"/>
    <w:rsid w:val="00BA369C"/>
    <w:rsid w:val="00BA3B05"/>
    <w:rsid w:val="00BA3BCE"/>
    <w:rsid w:val="00BA3C98"/>
    <w:rsid w:val="00BA467D"/>
    <w:rsid w:val="00BA4D9E"/>
    <w:rsid w:val="00BA544C"/>
    <w:rsid w:val="00BA5522"/>
    <w:rsid w:val="00BA5EBB"/>
    <w:rsid w:val="00BA7163"/>
    <w:rsid w:val="00BA75B0"/>
    <w:rsid w:val="00BA7BC9"/>
    <w:rsid w:val="00BB0847"/>
    <w:rsid w:val="00BB089B"/>
    <w:rsid w:val="00BB0C25"/>
    <w:rsid w:val="00BB0E6B"/>
    <w:rsid w:val="00BB14B4"/>
    <w:rsid w:val="00BB16B7"/>
    <w:rsid w:val="00BB1874"/>
    <w:rsid w:val="00BB1B36"/>
    <w:rsid w:val="00BB1E09"/>
    <w:rsid w:val="00BB242E"/>
    <w:rsid w:val="00BB247E"/>
    <w:rsid w:val="00BB2812"/>
    <w:rsid w:val="00BB290A"/>
    <w:rsid w:val="00BB29E4"/>
    <w:rsid w:val="00BB2B2C"/>
    <w:rsid w:val="00BB302B"/>
    <w:rsid w:val="00BB36F4"/>
    <w:rsid w:val="00BB451F"/>
    <w:rsid w:val="00BB471A"/>
    <w:rsid w:val="00BB4A30"/>
    <w:rsid w:val="00BB4E64"/>
    <w:rsid w:val="00BB4F24"/>
    <w:rsid w:val="00BB510B"/>
    <w:rsid w:val="00BB51D2"/>
    <w:rsid w:val="00BB54D5"/>
    <w:rsid w:val="00BB5522"/>
    <w:rsid w:val="00BB5E6C"/>
    <w:rsid w:val="00BB608C"/>
    <w:rsid w:val="00BB62E8"/>
    <w:rsid w:val="00BB6F4C"/>
    <w:rsid w:val="00BB73FB"/>
    <w:rsid w:val="00BB743C"/>
    <w:rsid w:val="00BB76A5"/>
    <w:rsid w:val="00BB7962"/>
    <w:rsid w:val="00BB79E3"/>
    <w:rsid w:val="00BB7B5C"/>
    <w:rsid w:val="00BB7BA0"/>
    <w:rsid w:val="00BB7D1B"/>
    <w:rsid w:val="00BC00FC"/>
    <w:rsid w:val="00BC0125"/>
    <w:rsid w:val="00BC03F5"/>
    <w:rsid w:val="00BC0995"/>
    <w:rsid w:val="00BC0D04"/>
    <w:rsid w:val="00BC13A5"/>
    <w:rsid w:val="00BC1924"/>
    <w:rsid w:val="00BC1938"/>
    <w:rsid w:val="00BC1D22"/>
    <w:rsid w:val="00BC29D7"/>
    <w:rsid w:val="00BC3D6C"/>
    <w:rsid w:val="00BC3F16"/>
    <w:rsid w:val="00BC4088"/>
    <w:rsid w:val="00BC4436"/>
    <w:rsid w:val="00BC461E"/>
    <w:rsid w:val="00BC4851"/>
    <w:rsid w:val="00BC4ADF"/>
    <w:rsid w:val="00BC4FC8"/>
    <w:rsid w:val="00BC51FD"/>
    <w:rsid w:val="00BC56B2"/>
    <w:rsid w:val="00BC58C4"/>
    <w:rsid w:val="00BC5AE7"/>
    <w:rsid w:val="00BC5E38"/>
    <w:rsid w:val="00BC6306"/>
    <w:rsid w:val="00BC64A8"/>
    <w:rsid w:val="00BC680A"/>
    <w:rsid w:val="00BC688A"/>
    <w:rsid w:val="00BC70F5"/>
    <w:rsid w:val="00BC721A"/>
    <w:rsid w:val="00BC73F8"/>
    <w:rsid w:val="00BD010D"/>
    <w:rsid w:val="00BD04A5"/>
    <w:rsid w:val="00BD07AA"/>
    <w:rsid w:val="00BD1771"/>
    <w:rsid w:val="00BD1BF8"/>
    <w:rsid w:val="00BD1C00"/>
    <w:rsid w:val="00BD1CB4"/>
    <w:rsid w:val="00BD1CF6"/>
    <w:rsid w:val="00BD1D71"/>
    <w:rsid w:val="00BD2240"/>
    <w:rsid w:val="00BD2483"/>
    <w:rsid w:val="00BD249B"/>
    <w:rsid w:val="00BD28FE"/>
    <w:rsid w:val="00BD2999"/>
    <w:rsid w:val="00BD29A4"/>
    <w:rsid w:val="00BD2F65"/>
    <w:rsid w:val="00BD3589"/>
    <w:rsid w:val="00BD36D7"/>
    <w:rsid w:val="00BD36E5"/>
    <w:rsid w:val="00BD380A"/>
    <w:rsid w:val="00BD39DA"/>
    <w:rsid w:val="00BD4D22"/>
    <w:rsid w:val="00BD5572"/>
    <w:rsid w:val="00BD595B"/>
    <w:rsid w:val="00BD5F01"/>
    <w:rsid w:val="00BD666C"/>
    <w:rsid w:val="00BD6819"/>
    <w:rsid w:val="00BD6DB7"/>
    <w:rsid w:val="00BD7148"/>
    <w:rsid w:val="00BD71EA"/>
    <w:rsid w:val="00BD760F"/>
    <w:rsid w:val="00BD762F"/>
    <w:rsid w:val="00BD797A"/>
    <w:rsid w:val="00BD7FF4"/>
    <w:rsid w:val="00BE0479"/>
    <w:rsid w:val="00BE0923"/>
    <w:rsid w:val="00BE1120"/>
    <w:rsid w:val="00BE1AC8"/>
    <w:rsid w:val="00BE1B28"/>
    <w:rsid w:val="00BE1E07"/>
    <w:rsid w:val="00BE1ED0"/>
    <w:rsid w:val="00BE2116"/>
    <w:rsid w:val="00BE2C78"/>
    <w:rsid w:val="00BE3160"/>
    <w:rsid w:val="00BE32F9"/>
    <w:rsid w:val="00BE3324"/>
    <w:rsid w:val="00BE37FC"/>
    <w:rsid w:val="00BE3B17"/>
    <w:rsid w:val="00BE3CFD"/>
    <w:rsid w:val="00BE40D2"/>
    <w:rsid w:val="00BE47C9"/>
    <w:rsid w:val="00BE490F"/>
    <w:rsid w:val="00BE4A0C"/>
    <w:rsid w:val="00BE4B42"/>
    <w:rsid w:val="00BE4B47"/>
    <w:rsid w:val="00BE4E71"/>
    <w:rsid w:val="00BE51E4"/>
    <w:rsid w:val="00BE52ED"/>
    <w:rsid w:val="00BE5839"/>
    <w:rsid w:val="00BE5A08"/>
    <w:rsid w:val="00BE6190"/>
    <w:rsid w:val="00BE62B8"/>
    <w:rsid w:val="00BE657E"/>
    <w:rsid w:val="00BE6E84"/>
    <w:rsid w:val="00BE7564"/>
    <w:rsid w:val="00BE75D5"/>
    <w:rsid w:val="00BE7C35"/>
    <w:rsid w:val="00BF067C"/>
    <w:rsid w:val="00BF0FE6"/>
    <w:rsid w:val="00BF1976"/>
    <w:rsid w:val="00BF23CF"/>
    <w:rsid w:val="00BF25EC"/>
    <w:rsid w:val="00BF2636"/>
    <w:rsid w:val="00BF2745"/>
    <w:rsid w:val="00BF2F6D"/>
    <w:rsid w:val="00BF392F"/>
    <w:rsid w:val="00BF5228"/>
    <w:rsid w:val="00BF5287"/>
    <w:rsid w:val="00BF5349"/>
    <w:rsid w:val="00BF53D7"/>
    <w:rsid w:val="00BF58E5"/>
    <w:rsid w:val="00BF5B20"/>
    <w:rsid w:val="00BF6363"/>
    <w:rsid w:val="00BF675D"/>
    <w:rsid w:val="00BF67E9"/>
    <w:rsid w:val="00BF77AD"/>
    <w:rsid w:val="00BF79E9"/>
    <w:rsid w:val="00BF7DB7"/>
    <w:rsid w:val="00C0060E"/>
    <w:rsid w:val="00C00E37"/>
    <w:rsid w:val="00C0119E"/>
    <w:rsid w:val="00C01466"/>
    <w:rsid w:val="00C01A6C"/>
    <w:rsid w:val="00C02034"/>
    <w:rsid w:val="00C0233B"/>
    <w:rsid w:val="00C02473"/>
    <w:rsid w:val="00C02BA5"/>
    <w:rsid w:val="00C0324C"/>
    <w:rsid w:val="00C03824"/>
    <w:rsid w:val="00C03E32"/>
    <w:rsid w:val="00C041EA"/>
    <w:rsid w:val="00C04415"/>
    <w:rsid w:val="00C0458C"/>
    <w:rsid w:val="00C04A3A"/>
    <w:rsid w:val="00C05CE6"/>
    <w:rsid w:val="00C05FA4"/>
    <w:rsid w:val="00C068D1"/>
    <w:rsid w:val="00C06A81"/>
    <w:rsid w:val="00C06C6E"/>
    <w:rsid w:val="00C06CA3"/>
    <w:rsid w:val="00C07995"/>
    <w:rsid w:val="00C07C14"/>
    <w:rsid w:val="00C07EC7"/>
    <w:rsid w:val="00C1019C"/>
    <w:rsid w:val="00C102F5"/>
    <w:rsid w:val="00C103D9"/>
    <w:rsid w:val="00C10628"/>
    <w:rsid w:val="00C10796"/>
    <w:rsid w:val="00C10F9E"/>
    <w:rsid w:val="00C11607"/>
    <w:rsid w:val="00C11E66"/>
    <w:rsid w:val="00C11EA1"/>
    <w:rsid w:val="00C11F8B"/>
    <w:rsid w:val="00C11F9E"/>
    <w:rsid w:val="00C1215E"/>
    <w:rsid w:val="00C12208"/>
    <w:rsid w:val="00C1237D"/>
    <w:rsid w:val="00C126BA"/>
    <w:rsid w:val="00C12E49"/>
    <w:rsid w:val="00C13126"/>
    <w:rsid w:val="00C13314"/>
    <w:rsid w:val="00C13BDD"/>
    <w:rsid w:val="00C140E7"/>
    <w:rsid w:val="00C144B7"/>
    <w:rsid w:val="00C145B8"/>
    <w:rsid w:val="00C14B1C"/>
    <w:rsid w:val="00C14D8D"/>
    <w:rsid w:val="00C1509B"/>
    <w:rsid w:val="00C152FE"/>
    <w:rsid w:val="00C15741"/>
    <w:rsid w:val="00C15891"/>
    <w:rsid w:val="00C16B49"/>
    <w:rsid w:val="00C16BED"/>
    <w:rsid w:val="00C16CCE"/>
    <w:rsid w:val="00C175E8"/>
    <w:rsid w:val="00C1763A"/>
    <w:rsid w:val="00C17668"/>
    <w:rsid w:val="00C1776B"/>
    <w:rsid w:val="00C17A5A"/>
    <w:rsid w:val="00C17C75"/>
    <w:rsid w:val="00C17FD5"/>
    <w:rsid w:val="00C17FDF"/>
    <w:rsid w:val="00C20282"/>
    <w:rsid w:val="00C207C6"/>
    <w:rsid w:val="00C2091F"/>
    <w:rsid w:val="00C2121F"/>
    <w:rsid w:val="00C21338"/>
    <w:rsid w:val="00C2171E"/>
    <w:rsid w:val="00C223AA"/>
    <w:rsid w:val="00C22616"/>
    <w:rsid w:val="00C22639"/>
    <w:rsid w:val="00C227CF"/>
    <w:rsid w:val="00C23133"/>
    <w:rsid w:val="00C2345C"/>
    <w:rsid w:val="00C239BC"/>
    <w:rsid w:val="00C243AE"/>
    <w:rsid w:val="00C246FB"/>
    <w:rsid w:val="00C2502E"/>
    <w:rsid w:val="00C256F2"/>
    <w:rsid w:val="00C25C3B"/>
    <w:rsid w:val="00C25D90"/>
    <w:rsid w:val="00C262C4"/>
    <w:rsid w:val="00C268D3"/>
    <w:rsid w:val="00C26AD0"/>
    <w:rsid w:val="00C27188"/>
    <w:rsid w:val="00C27DC5"/>
    <w:rsid w:val="00C3000E"/>
    <w:rsid w:val="00C307DC"/>
    <w:rsid w:val="00C308E1"/>
    <w:rsid w:val="00C31387"/>
    <w:rsid w:val="00C316A0"/>
    <w:rsid w:val="00C326C5"/>
    <w:rsid w:val="00C33048"/>
    <w:rsid w:val="00C3311E"/>
    <w:rsid w:val="00C3353B"/>
    <w:rsid w:val="00C33703"/>
    <w:rsid w:val="00C33759"/>
    <w:rsid w:val="00C338BE"/>
    <w:rsid w:val="00C3390C"/>
    <w:rsid w:val="00C3393A"/>
    <w:rsid w:val="00C344AA"/>
    <w:rsid w:val="00C34539"/>
    <w:rsid w:val="00C34932"/>
    <w:rsid w:val="00C34B18"/>
    <w:rsid w:val="00C34E4D"/>
    <w:rsid w:val="00C34ED1"/>
    <w:rsid w:val="00C34F77"/>
    <w:rsid w:val="00C34FA5"/>
    <w:rsid w:val="00C353BA"/>
    <w:rsid w:val="00C3540F"/>
    <w:rsid w:val="00C362F4"/>
    <w:rsid w:val="00C36A4E"/>
    <w:rsid w:val="00C37B70"/>
    <w:rsid w:val="00C400D6"/>
    <w:rsid w:val="00C404C3"/>
    <w:rsid w:val="00C4080C"/>
    <w:rsid w:val="00C4081D"/>
    <w:rsid w:val="00C40D59"/>
    <w:rsid w:val="00C4116C"/>
    <w:rsid w:val="00C41298"/>
    <w:rsid w:val="00C415AA"/>
    <w:rsid w:val="00C4168E"/>
    <w:rsid w:val="00C41BC9"/>
    <w:rsid w:val="00C41ECF"/>
    <w:rsid w:val="00C420E2"/>
    <w:rsid w:val="00C42316"/>
    <w:rsid w:val="00C423A2"/>
    <w:rsid w:val="00C42599"/>
    <w:rsid w:val="00C4309C"/>
    <w:rsid w:val="00C430CE"/>
    <w:rsid w:val="00C43374"/>
    <w:rsid w:val="00C4399F"/>
    <w:rsid w:val="00C43B49"/>
    <w:rsid w:val="00C43DFD"/>
    <w:rsid w:val="00C43EF8"/>
    <w:rsid w:val="00C44063"/>
    <w:rsid w:val="00C4457E"/>
    <w:rsid w:val="00C44A7D"/>
    <w:rsid w:val="00C44E80"/>
    <w:rsid w:val="00C44F2A"/>
    <w:rsid w:val="00C4515D"/>
    <w:rsid w:val="00C4530A"/>
    <w:rsid w:val="00C457F2"/>
    <w:rsid w:val="00C45959"/>
    <w:rsid w:val="00C462F9"/>
    <w:rsid w:val="00C466F6"/>
    <w:rsid w:val="00C46953"/>
    <w:rsid w:val="00C4720E"/>
    <w:rsid w:val="00C47CD0"/>
    <w:rsid w:val="00C50345"/>
    <w:rsid w:val="00C50D7F"/>
    <w:rsid w:val="00C50E9D"/>
    <w:rsid w:val="00C51138"/>
    <w:rsid w:val="00C511D0"/>
    <w:rsid w:val="00C51859"/>
    <w:rsid w:val="00C5237D"/>
    <w:rsid w:val="00C525E3"/>
    <w:rsid w:val="00C5269B"/>
    <w:rsid w:val="00C5281C"/>
    <w:rsid w:val="00C52D57"/>
    <w:rsid w:val="00C5328B"/>
    <w:rsid w:val="00C53582"/>
    <w:rsid w:val="00C53A77"/>
    <w:rsid w:val="00C53CA4"/>
    <w:rsid w:val="00C53E1D"/>
    <w:rsid w:val="00C542B1"/>
    <w:rsid w:val="00C54308"/>
    <w:rsid w:val="00C543B8"/>
    <w:rsid w:val="00C547DC"/>
    <w:rsid w:val="00C549F4"/>
    <w:rsid w:val="00C54EC4"/>
    <w:rsid w:val="00C54F9A"/>
    <w:rsid w:val="00C55925"/>
    <w:rsid w:val="00C55AC3"/>
    <w:rsid w:val="00C55D1B"/>
    <w:rsid w:val="00C55E82"/>
    <w:rsid w:val="00C55FDF"/>
    <w:rsid w:val="00C55FF7"/>
    <w:rsid w:val="00C560AE"/>
    <w:rsid w:val="00C56956"/>
    <w:rsid w:val="00C5715C"/>
    <w:rsid w:val="00C573D1"/>
    <w:rsid w:val="00C57729"/>
    <w:rsid w:val="00C57C1C"/>
    <w:rsid w:val="00C60862"/>
    <w:rsid w:val="00C61B2E"/>
    <w:rsid w:val="00C61FD9"/>
    <w:rsid w:val="00C622E6"/>
    <w:rsid w:val="00C62525"/>
    <w:rsid w:val="00C62902"/>
    <w:rsid w:val="00C6298F"/>
    <w:rsid w:val="00C62FB7"/>
    <w:rsid w:val="00C630ED"/>
    <w:rsid w:val="00C631C8"/>
    <w:rsid w:val="00C63870"/>
    <w:rsid w:val="00C63E5F"/>
    <w:rsid w:val="00C64451"/>
    <w:rsid w:val="00C65352"/>
    <w:rsid w:val="00C654AA"/>
    <w:rsid w:val="00C65B36"/>
    <w:rsid w:val="00C662D8"/>
    <w:rsid w:val="00C66404"/>
    <w:rsid w:val="00C66A34"/>
    <w:rsid w:val="00C66CE2"/>
    <w:rsid w:val="00C67C1A"/>
    <w:rsid w:val="00C702B4"/>
    <w:rsid w:val="00C7078F"/>
    <w:rsid w:val="00C70B98"/>
    <w:rsid w:val="00C70C83"/>
    <w:rsid w:val="00C70ED7"/>
    <w:rsid w:val="00C70F17"/>
    <w:rsid w:val="00C7100C"/>
    <w:rsid w:val="00C71153"/>
    <w:rsid w:val="00C712C0"/>
    <w:rsid w:val="00C71A72"/>
    <w:rsid w:val="00C71F9C"/>
    <w:rsid w:val="00C72288"/>
    <w:rsid w:val="00C72294"/>
    <w:rsid w:val="00C7241E"/>
    <w:rsid w:val="00C728F9"/>
    <w:rsid w:val="00C729AF"/>
    <w:rsid w:val="00C72F52"/>
    <w:rsid w:val="00C730B6"/>
    <w:rsid w:val="00C735BF"/>
    <w:rsid w:val="00C7370B"/>
    <w:rsid w:val="00C73717"/>
    <w:rsid w:val="00C73DE7"/>
    <w:rsid w:val="00C73E65"/>
    <w:rsid w:val="00C74808"/>
    <w:rsid w:val="00C748D1"/>
    <w:rsid w:val="00C752F8"/>
    <w:rsid w:val="00C75BCE"/>
    <w:rsid w:val="00C75D2C"/>
    <w:rsid w:val="00C764E2"/>
    <w:rsid w:val="00C76F52"/>
    <w:rsid w:val="00C777B1"/>
    <w:rsid w:val="00C77C6D"/>
    <w:rsid w:val="00C77EFF"/>
    <w:rsid w:val="00C80114"/>
    <w:rsid w:val="00C8023C"/>
    <w:rsid w:val="00C8075D"/>
    <w:rsid w:val="00C809D0"/>
    <w:rsid w:val="00C80C45"/>
    <w:rsid w:val="00C8167D"/>
    <w:rsid w:val="00C81912"/>
    <w:rsid w:val="00C81E38"/>
    <w:rsid w:val="00C81E76"/>
    <w:rsid w:val="00C828A4"/>
    <w:rsid w:val="00C828C0"/>
    <w:rsid w:val="00C82FC4"/>
    <w:rsid w:val="00C832B9"/>
    <w:rsid w:val="00C8367F"/>
    <w:rsid w:val="00C83827"/>
    <w:rsid w:val="00C838E2"/>
    <w:rsid w:val="00C84CB8"/>
    <w:rsid w:val="00C84D2D"/>
    <w:rsid w:val="00C84E5A"/>
    <w:rsid w:val="00C85DA6"/>
    <w:rsid w:val="00C8610F"/>
    <w:rsid w:val="00C86292"/>
    <w:rsid w:val="00C8684B"/>
    <w:rsid w:val="00C86AD2"/>
    <w:rsid w:val="00C86C72"/>
    <w:rsid w:val="00C87088"/>
    <w:rsid w:val="00C878A7"/>
    <w:rsid w:val="00C87BE3"/>
    <w:rsid w:val="00C87CD1"/>
    <w:rsid w:val="00C87DEA"/>
    <w:rsid w:val="00C906C3"/>
    <w:rsid w:val="00C906ED"/>
    <w:rsid w:val="00C90D6C"/>
    <w:rsid w:val="00C91433"/>
    <w:rsid w:val="00C91A91"/>
    <w:rsid w:val="00C91F76"/>
    <w:rsid w:val="00C91FCB"/>
    <w:rsid w:val="00C9207A"/>
    <w:rsid w:val="00C92349"/>
    <w:rsid w:val="00C93481"/>
    <w:rsid w:val="00C9348A"/>
    <w:rsid w:val="00C9366C"/>
    <w:rsid w:val="00C93B9C"/>
    <w:rsid w:val="00C93CF7"/>
    <w:rsid w:val="00C93FD2"/>
    <w:rsid w:val="00C93FF5"/>
    <w:rsid w:val="00C940F5"/>
    <w:rsid w:val="00C94336"/>
    <w:rsid w:val="00C94BFA"/>
    <w:rsid w:val="00C95073"/>
    <w:rsid w:val="00C952C6"/>
    <w:rsid w:val="00C95464"/>
    <w:rsid w:val="00C957F3"/>
    <w:rsid w:val="00C95DE3"/>
    <w:rsid w:val="00C96573"/>
    <w:rsid w:val="00C965C4"/>
    <w:rsid w:val="00C96FD9"/>
    <w:rsid w:val="00C97143"/>
    <w:rsid w:val="00C9767D"/>
    <w:rsid w:val="00C97A1B"/>
    <w:rsid w:val="00C97B32"/>
    <w:rsid w:val="00C97B92"/>
    <w:rsid w:val="00CA02B2"/>
    <w:rsid w:val="00CA0869"/>
    <w:rsid w:val="00CA0B46"/>
    <w:rsid w:val="00CA0E26"/>
    <w:rsid w:val="00CA1ED4"/>
    <w:rsid w:val="00CA1F0C"/>
    <w:rsid w:val="00CA1F63"/>
    <w:rsid w:val="00CA2752"/>
    <w:rsid w:val="00CA2C61"/>
    <w:rsid w:val="00CA2CEE"/>
    <w:rsid w:val="00CA3432"/>
    <w:rsid w:val="00CA363B"/>
    <w:rsid w:val="00CA36DA"/>
    <w:rsid w:val="00CA37C2"/>
    <w:rsid w:val="00CA3CDA"/>
    <w:rsid w:val="00CA416B"/>
    <w:rsid w:val="00CA457B"/>
    <w:rsid w:val="00CA4B73"/>
    <w:rsid w:val="00CA5544"/>
    <w:rsid w:val="00CA579B"/>
    <w:rsid w:val="00CA6067"/>
    <w:rsid w:val="00CA6127"/>
    <w:rsid w:val="00CA63CB"/>
    <w:rsid w:val="00CA69BE"/>
    <w:rsid w:val="00CA7169"/>
    <w:rsid w:val="00CA7270"/>
    <w:rsid w:val="00CA7963"/>
    <w:rsid w:val="00CA7AF3"/>
    <w:rsid w:val="00CA7C0B"/>
    <w:rsid w:val="00CB06EF"/>
    <w:rsid w:val="00CB0730"/>
    <w:rsid w:val="00CB0D07"/>
    <w:rsid w:val="00CB0E7E"/>
    <w:rsid w:val="00CB1002"/>
    <w:rsid w:val="00CB1048"/>
    <w:rsid w:val="00CB1130"/>
    <w:rsid w:val="00CB1910"/>
    <w:rsid w:val="00CB2558"/>
    <w:rsid w:val="00CB28BE"/>
    <w:rsid w:val="00CB2B9C"/>
    <w:rsid w:val="00CB2CB5"/>
    <w:rsid w:val="00CB338D"/>
    <w:rsid w:val="00CB36F6"/>
    <w:rsid w:val="00CB3BA7"/>
    <w:rsid w:val="00CB47E8"/>
    <w:rsid w:val="00CB48F1"/>
    <w:rsid w:val="00CB49FE"/>
    <w:rsid w:val="00CB5C75"/>
    <w:rsid w:val="00CB5E20"/>
    <w:rsid w:val="00CB6098"/>
    <w:rsid w:val="00CB60BF"/>
    <w:rsid w:val="00CB637C"/>
    <w:rsid w:val="00CB6526"/>
    <w:rsid w:val="00CB6801"/>
    <w:rsid w:val="00CB704D"/>
    <w:rsid w:val="00CB75C3"/>
    <w:rsid w:val="00CB77F1"/>
    <w:rsid w:val="00CB79A3"/>
    <w:rsid w:val="00CB7A9A"/>
    <w:rsid w:val="00CC0159"/>
    <w:rsid w:val="00CC0533"/>
    <w:rsid w:val="00CC0AB6"/>
    <w:rsid w:val="00CC0ACA"/>
    <w:rsid w:val="00CC0BCB"/>
    <w:rsid w:val="00CC1451"/>
    <w:rsid w:val="00CC1711"/>
    <w:rsid w:val="00CC202E"/>
    <w:rsid w:val="00CC2152"/>
    <w:rsid w:val="00CC256C"/>
    <w:rsid w:val="00CC2A71"/>
    <w:rsid w:val="00CC2D4D"/>
    <w:rsid w:val="00CC2E78"/>
    <w:rsid w:val="00CC316C"/>
    <w:rsid w:val="00CC3D7D"/>
    <w:rsid w:val="00CC4357"/>
    <w:rsid w:val="00CC44F6"/>
    <w:rsid w:val="00CC4F2F"/>
    <w:rsid w:val="00CC5242"/>
    <w:rsid w:val="00CC5741"/>
    <w:rsid w:val="00CC5B2F"/>
    <w:rsid w:val="00CC5B52"/>
    <w:rsid w:val="00CC5E35"/>
    <w:rsid w:val="00CC6734"/>
    <w:rsid w:val="00CC68F9"/>
    <w:rsid w:val="00CC6F00"/>
    <w:rsid w:val="00CC7645"/>
    <w:rsid w:val="00CC788A"/>
    <w:rsid w:val="00CC7D5F"/>
    <w:rsid w:val="00CD00C1"/>
    <w:rsid w:val="00CD0289"/>
    <w:rsid w:val="00CD0E9F"/>
    <w:rsid w:val="00CD0EAD"/>
    <w:rsid w:val="00CD13CD"/>
    <w:rsid w:val="00CD194C"/>
    <w:rsid w:val="00CD2173"/>
    <w:rsid w:val="00CD2254"/>
    <w:rsid w:val="00CD25D6"/>
    <w:rsid w:val="00CD275C"/>
    <w:rsid w:val="00CD29D7"/>
    <w:rsid w:val="00CD2FD7"/>
    <w:rsid w:val="00CD3004"/>
    <w:rsid w:val="00CD34C5"/>
    <w:rsid w:val="00CD36A3"/>
    <w:rsid w:val="00CD3C6A"/>
    <w:rsid w:val="00CD3D21"/>
    <w:rsid w:val="00CD3D36"/>
    <w:rsid w:val="00CD3D85"/>
    <w:rsid w:val="00CD4823"/>
    <w:rsid w:val="00CD4850"/>
    <w:rsid w:val="00CD4A02"/>
    <w:rsid w:val="00CD4DB7"/>
    <w:rsid w:val="00CD4F2D"/>
    <w:rsid w:val="00CD50C4"/>
    <w:rsid w:val="00CD6033"/>
    <w:rsid w:val="00CD70A3"/>
    <w:rsid w:val="00CD73FB"/>
    <w:rsid w:val="00CD7405"/>
    <w:rsid w:val="00CD7481"/>
    <w:rsid w:val="00CD75AB"/>
    <w:rsid w:val="00CD7BD0"/>
    <w:rsid w:val="00CE02B4"/>
    <w:rsid w:val="00CE0760"/>
    <w:rsid w:val="00CE0D40"/>
    <w:rsid w:val="00CE0FB4"/>
    <w:rsid w:val="00CE10D6"/>
    <w:rsid w:val="00CE13B9"/>
    <w:rsid w:val="00CE159F"/>
    <w:rsid w:val="00CE17B6"/>
    <w:rsid w:val="00CE1B46"/>
    <w:rsid w:val="00CE1F6A"/>
    <w:rsid w:val="00CE23D3"/>
    <w:rsid w:val="00CE2880"/>
    <w:rsid w:val="00CE2AD8"/>
    <w:rsid w:val="00CE2B64"/>
    <w:rsid w:val="00CE2ED7"/>
    <w:rsid w:val="00CE3104"/>
    <w:rsid w:val="00CE35A8"/>
    <w:rsid w:val="00CE3765"/>
    <w:rsid w:val="00CE3C7F"/>
    <w:rsid w:val="00CE3E03"/>
    <w:rsid w:val="00CE3ED9"/>
    <w:rsid w:val="00CE429C"/>
    <w:rsid w:val="00CE44DB"/>
    <w:rsid w:val="00CE4718"/>
    <w:rsid w:val="00CE4A7E"/>
    <w:rsid w:val="00CE4B29"/>
    <w:rsid w:val="00CE5224"/>
    <w:rsid w:val="00CE5233"/>
    <w:rsid w:val="00CE52E4"/>
    <w:rsid w:val="00CE548A"/>
    <w:rsid w:val="00CE5A99"/>
    <w:rsid w:val="00CE5CCA"/>
    <w:rsid w:val="00CE5F80"/>
    <w:rsid w:val="00CE6036"/>
    <w:rsid w:val="00CE693C"/>
    <w:rsid w:val="00CE6E1D"/>
    <w:rsid w:val="00CE7601"/>
    <w:rsid w:val="00CE78A5"/>
    <w:rsid w:val="00CE7BF3"/>
    <w:rsid w:val="00CE7EE7"/>
    <w:rsid w:val="00CE7FC2"/>
    <w:rsid w:val="00CF0150"/>
    <w:rsid w:val="00CF01DA"/>
    <w:rsid w:val="00CF07E2"/>
    <w:rsid w:val="00CF0FF8"/>
    <w:rsid w:val="00CF141E"/>
    <w:rsid w:val="00CF1830"/>
    <w:rsid w:val="00CF18BD"/>
    <w:rsid w:val="00CF1BF2"/>
    <w:rsid w:val="00CF1CBB"/>
    <w:rsid w:val="00CF1DDC"/>
    <w:rsid w:val="00CF1E10"/>
    <w:rsid w:val="00CF1EB5"/>
    <w:rsid w:val="00CF22AD"/>
    <w:rsid w:val="00CF251F"/>
    <w:rsid w:val="00CF290F"/>
    <w:rsid w:val="00CF2CCD"/>
    <w:rsid w:val="00CF3047"/>
    <w:rsid w:val="00CF329D"/>
    <w:rsid w:val="00CF3377"/>
    <w:rsid w:val="00CF36AB"/>
    <w:rsid w:val="00CF3AA6"/>
    <w:rsid w:val="00CF3C55"/>
    <w:rsid w:val="00CF3ED2"/>
    <w:rsid w:val="00CF3F7B"/>
    <w:rsid w:val="00CF4417"/>
    <w:rsid w:val="00CF48CE"/>
    <w:rsid w:val="00CF4E47"/>
    <w:rsid w:val="00CF51FF"/>
    <w:rsid w:val="00CF613A"/>
    <w:rsid w:val="00CF6AE7"/>
    <w:rsid w:val="00CF6B8D"/>
    <w:rsid w:val="00CF6FF8"/>
    <w:rsid w:val="00CF70D2"/>
    <w:rsid w:val="00CF71CA"/>
    <w:rsid w:val="00CF788B"/>
    <w:rsid w:val="00CF78F6"/>
    <w:rsid w:val="00D00009"/>
    <w:rsid w:val="00D004A8"/>
    <w:rsid w:val="00D006F1"/>
    <w:rsid w:val="00D007E3"/>
    <w:rsid w:val="00D0099C"/>
    <w:rsid w:val="00D00B61"/>
    <w:rsid w:val="00D00D8E"/>
    <w:rsid w:val="00D0195C"/>
    <w:rsid w:val="00D01AF7"/>
    <w:rsid w:val="00D01CCE"/>
    <w:rsid w:val="00D02328"/>
    <w:rsid w:val="00D0249F"/>
    <w:rsid w:val="00D02AD1"/>
    <w:rsid w:val="00D02E7E"/>
    <w:rsid w:val="00D035CC"/>
    <w:rsid w:val="00D03BEF"/>
    <w:rsid w:val="00D03C3C"/>
    <w:rsid w:val="00D0457B"/>
    <w:rsid w:val="00D04D3F"/>
    <w:rsid w:val="00D05708"/>
    <w:rsid w:val="00D05B21"/>
    <w:rsid w:val="00D05FFD"/>
    <w:rsid w:val="00D06505"/>
    <w:rsid w:val="00D06910"/>
    <w:rsid w:val="00D06A3E"/>
    <w:rsid w:val="00D06B97"/>
    <w:rsid w:val="00D07878"/>
    <w:rsid w:val="00D10811"/>
    <w:rsid w:val="00D10C9E"/>
    <w:rsid w:val="00D11507"/>
    <w:rsid w:val="00D12008"/>
    <w:rsid w:val="00D120B9"/>
    <w:rsid w:val="00D1215B"/>
    <w:rsid w:val="00D122AC"/>
    <w:rsid w:val="00D12A40"/>
    <w:rsid w:val="00D12B97"/>
    <w:rsid w:val="00D12E4D"/>
    <w:rsid w:val="00D136D6"/>
    <w:rsid w:val="00D1375D"/>
    <w:rsid w:val="00D13A9C"/>
    <w:rsid w:val="00D13EE4"/>
    <w:rsid w:val="00D146BD"/>
    <w:rsid w:val="00D1487E"/>
    <w:rsid w:val="00D14A1A"/>
    <w:rsid w:val="00D14AC1"/>
    <w:rsid w:val="00D14ED0"/>
    <w:rsid w:val="00D15263"/>
    <w:rsid w:val="00D15431"/>
    <w:rsid w:val="00D15A76"/>
    <w:rsid w:val="00D15DC0"/>
    <w:rsid w:val="00D15E76"/>
    <w:rsid w:val="00D16290"/>
    <w:rsid w:val="00D168F4"/>
    <w:rsid w:val="00D16EC0"/>
    <w:rsid w:val="00D172E0"/>
    <w:rsid w:val="00D173FC"/>
    <w:rsid w:val="00D17570"/>
    <w:rsid w:val="00D17F30"/>
    <w:rsid w:val="00D200D0"/>
    <w:rsid w:val="00D202FB"/>
    <w:rsid w:val="00D203A7"/>
    <w:rsid w:val="00D204D5"/>
    <w:rsid w:val="00D20581"/>
    <w:rsid w:val="00D21215"/>
    <w:rsid w:val="00D212F4"/>
    <w:rsid w:val="00D21389"/>
    <w:rsid w:val="00D213C3"/>
    <w:rsid w:val="00D2146E"/>
    <w:rsid w:val="00D21549"/>
    <w:rsid w:val="00D21E7F"/>
    <w:rsid w:val="00D2239F"/>
    <w:rsid w:val="00D223FB"/>
    <w:rsid w:val="00D226A7"/>
    <w:rsid w:val="00D2281A"/>
    <w:rsid w:val="00D22845"/>
    <w:rsid w:val="00D22BD0"/>
    <w:rsid w:val="00D22D14"/>
    <w:rsid w:val="00D2304D"/>
    <w:rsid w:val="00D23F8A"/>
    <w:rsid w:val="00D24047"/>
    <w:rsid w:val="00D24077"/>
    <w:rsid w:val="00D2427C"/>
    <w:rsid w:val="00D245DD"/>
    <w:rsid w:val="00D249BF"/>
    <w:rsid w:val="00D24D51"/>
    <w:rsid w:val="00D24E68"/>
    <w:rsid w:val="00D25223"/>
    <w:rsid w:val="00D25BD7"/>
    <w:rsid w:val="00D25DDB"/>
    <w:rsid w:val="00D26636"/>
    <w:rsid w:val="00D26C71"/>
    <w:rsid w:val="00D26D94"/>
    <w:rsid w:val="00D26FA3"/>
    <w:rsid w:val="00D27561"/>
    <w:rsid w:val="00D27CEB"/>
    <w:rsid w:val="00D3000C"/>
    <w:rsid w:val="00D303EC"/>
    <w:rsid w:val="00D30521"/>
    <w:rsid w:val="00D30963"/>
    <w:rsid w:val="00D30998"/>
    <w:rsid w:val="00D30D34"/>
    <w:rsid w:val="00D30DC5"/>
    <w:rsid w:val="00D30EEF"/>
    <w:rsid w:val="00D3229F"/>
    <w:rsid w:val="00D3257B"/>
    <w:rsid w:val="00D327E2"/>
    <w:rsid w:val="00D3386A"/>
    <w:rsid w:val="00D339CB"/>
    <w:rsid w:val="00D3413E"/>
    <w:rsid w:val="00D342F8"/>
    <w:rsid w:val="00D345DE"/>
    <w:rsid w:val="00D34883"/>
    <w:rsid w:val="00D34A95"/>
    <w:rsid w:val="00D35094"/>
    <w:rsid w:val="00D351F0"/>
    <w:rsid w:val="00D353CC"/>
    <w:rsid w:val="00D35552"/>
    <w:rsid w:val="00D358E2"/>
    <w:rsid w:val="00D3596F"/>
    <w:rsid w:val="00D35CCC"/>
    <w:rsid w:val="00D3619F"/>
    <w:rsid w:val="00D366CE"/>
    <w:rsid w:val="00D36787"/>
    <w:rsid w:val="00D367E8"/>
    <w:rsid w:val="00D36989"/>
    <w:rsid w:val="00D36CE6"/>
    <w:rsid w:val="00D36DDC"/>
    <w:rsid w:val="00D36F2F"/>
    <w:rsid w:val="00D37207"/>
    <w:rsid w:val="00D37218"/>
    <w:rsid w:val="00D372A2"/>
    <w:rsid w:val="00D376E8"/>
    <w:rsid w:val="00D40D00"/>
    <w:rsid w:val="00D40EAA"/>
    <w:rsid w:val="00D41160"/>
    <w:rsid w:val="00D41572"/>
    <w:rsid w:val="00D41ADF"/>
    <w:rsid w:val="00D41B63"/>
    <w:rsid w:val="00D42510"/>
    <w:rsid w:val="00D42B23"/>
    <w:rsid w:val="00D43A85"/>
    <w:rsid w:val="00D43E84"/>
    <w:rsid w:val="00D43EF1"/>
    <w:rsid w:val="00D43FB7"/>
    <w:rsid w:val="00D4410F"/>
    <w:rsid w:val="00D4429E"/>
    <w:rsid w:val="00D458F6"/>
    <w:rsid w:val="00D45984"/>
    <w:rsid w:val="00D45B0E"/>
    <w:rsid w:val="00D45EDF"/>
    <w:rsid w:val="00D467AC"/>
    <w:rsid w:val="00D468E8"/>
    <w:rsid w:val="00D4692F"/>
    <w:rsid w:val="00D470D1"/>
    <w:rsid w:val="00D472DC"/>
    <w:rsid w:val="00D4767B"/>
    <w:rsid w:val="00D477D1"/>
    <w:rsid w:val="00D47DEA"/>
    <w:rsid w:val="00D5010E"/>
    <w:rsid w:val="00D5026D"/>
    <w:rsid w:val="00D50462"/>
    <w:rsid w:val="00D5086D"/>
    <w:rsid w:val="00D50A2D"/>
    <w:rsid w:val="00D512B1"/>
    <w:rsid w:val="00D51389"/>
    <w:rsid w:val="00D51616"/>
    <w:rsid w:val="00D518C3"/>
    <w:rsid w:val="00D519A6"/>
    <w:rsid w:val="00D51FFD"/>
    <w:rsid w:val="00D52B07"/>
    <w:rsid w:val="00D52DDB"/>
    <w:rsid w:val="00D52F46"/>
    <w:rsid w:val="00D5318D"/>
    <w:rsid w:val="00D5367A"/>
    <w:rsid w:val="00D53BBF"/>
    <w:rsid w:val="00D53E6B"/>
    <w:rsid w:val="00D5417D"/>
    <w:rsid w:val="00D54B99"/>
    <w:rsid w:val="00D5519E"/>
    <w:rsid w:val="00D55B63"/>
    <w:rsid w:val="00D56685"/>
    <w:rsid w:val="00D56C21"/>
    <w:rsid w:val="00D571FB"/>
    <w:rsid w:val="00D5730D"/>
    <w:rsid w:val="00D57C7E"/>
    <w:rsid w:val="00D57D13"/>
    <w:rsid w:val="00D57E7F"/>
    <w:rsid w:val="00D600E7"/>
    <w:rsid w:val="00D60302"/>
    <w:rsid w:val="00D608A9"/>
    <w:rsid w:val="00D60B25"/>
    <w:rsid w:val="00D61814"/>
    <w:rsid w:val="00D61849"/>
    <w:rsid w:val="00D62CCB"/>
    <w:rsid w:val="00D62DD3"/>
    <w:rsid w:val="00D62ECA"/>
    <w:rsid w:val="00D62F32"/>
    <w:rsid w:val="00D63275"/>
    <w:rsid w:val="00D6358C"/>
    <w:rsid w:val="00D637BD"/>
    <w:rsid w:val="00D63906"/>
    <w:rsid w:val="00D6390B"/>
    <w:rsid w:val="00D63989"/>
    <w:rsid w:val="00D6404A"/>
    <w:rsid w:val="00D64097"/>
    <w:rsid w:val="00D640EE"/>
    <w:rsid w:val="00D64295"/>
    <w:rsid w:val="00D64C7E"/>
    <w:rsid w:val="00D64CA2"/>
    <w:rsid w:val="00D64F2D"/>
    <w:rsid w:val="00D65777"/>
    <w:rsid w:val="00D65B27"/>
    <w:rsid w:val="00D66075"/>
    <w:rsid w:val="00D661B6"/>
    <w:rsid w:val="00D6653D"/>
    <w:rsid w:val="00D66A4C"/>
    <w:rsid w:val="00D66A7A"/>
    <w:rsid w:val="00D66BC1"/>
    <w:rsid w:val="00D66FF0"/>
    <w:rsid w:val="00D67312"/>
    <w:rsid w:val="00D67D24"/>
    <w:rsid w:val="00D7021F"/>
    <w:rsid w:val="00D704ED"/>
    <w:rsid w:val="00D70698"/>
    <w:rsid w:val="00D70814"/>
    <w:rsid w:val="00D70C0A"/>
    <w:rsid w:val="00D7134C"/>
    <w:rsid w:val="00D71608"/>
    <w:rsid w:val="00D7167C"/>
    <w:rsid w:val="00D718DD"/>
    <w:rsid w:val="00D72BE1"/>
    <w:rsid w:val="00D734AF"/>
    <w:rsid w:val="00D73828"/>
    <w:rsid w:val="00D73EC7"/>
    <w:rsid w:val="00D73ECF"/>
    <w:rsid w:val="00D73F03"/>
    <w:rsid w:val="00D74284"/>
    <w:rsid w:val="00D7465B"/>
    <w:rsid w:val="00D7486A"/>
    <w:rsid w:val="00D74DDB"/>
    <w:rsid w:val="00D75042"/>
    <w:rsid w:val="00D75387"/>
    <w:rsid w:val="00D7582A"/>
    <w:rsid w:val="00D75AF5"/>
    <w:rsid w:val="00D75D52"/>
    <w:rsid w:val="00D75D63"/>
    <w:rsid w:val="00D75E34"/>
    <w:rsid w:val="00D7635A"/>
    <w:rsid w:val="00D764B0"/>
    <w:rsid w:val="00D76C9E"/>
    <w:rsid w:val="00D76EE1"/>
    <w:rsid w:val="00D76F41"/>
    <w:rsid w:val="00D76F7F"/>
    <w:rsid w:val="00D76FD8"/>
    <w:rsid w:val="00D770CD"/>
    <w:rsid w:val="00D7734B"/>
    <w:rsid w:val="00D777B3"/>
    <w:rsid w:val="00D77BC4"/>
    <w:rsid w:val="00D800A5"/>
    <w:rsid w:val="00D80293"/>
    <w:rsid w:val="00D80AD6"/>
    <w:rsid w:val="00D80C18"/>
    <w:rsid w:val="00D80CC2"/>
    <w:rsid w:val="00D80D19"/>
    <w:rsid w:val="00D80DA5"/>
    <w:rsid w:val="00D80E76"/>
    <w:rsid w:val="00D82086"/>
    <w:rsid w:val="00D82430"/>
    <w:rsid w:val="00D82646"/>
    <w:rsid w:val="00D827AB"/>
    <w:rsid w:val="00D82A5C"/>
    <w:rsid w:val="00D82B3A"/>
    <w:rsid w:val="00D82E76"/>
    <w:rsid w:val="00D82F02"/>
    <w:rsid w:val="00D82F2A"/>
    <w:rsid w:val="00D84F6A"/>
    <w:rsid w:val="00D84F78"/>
    <w:rsid w:val="00D851D7"/>
    <w:rsid w:val="00D851DA"/>
    <w:rsid w:val="00D8536C"/>
    <w:rsid w:val="00D85397"/>
    <w:rsid w:val="00D8559D"/>
    <w:rsid w:val="00D85600"/>
    <w:rsid w:val="00D856DB"/>
    <w:rsid w:val="00D85702"/>
    <w:rsid w:val="00D867CC"/>
    <w:rsid w:val="00D86853"/>
    <w:rsid w:val="00D86936"/>
    <w:rsid w:val="00D86A81"/>
    <w:rsid w:val="00D87353"/>
    <w:rsid w:val="00D87D7C"/>
    <w:rsid w:val="00D900C9"/>
    <w:rsid w:val="00D90686"/>
    <w:rsid w:val="00D907E1"/>
    <w:rsid w:val="00D909B6"/>
    <w:rsid w:val="00D909D1"/>
    <w:rsid w:val="00D91009"/>
    <w:rsid w:val="00D912C0"/>
    <w:rsid w:val="00D9195F"/>
    <w:rsid w:val="00D91C11"/>
    <w:rsid w:val="00D91CA7"/>
    <w:rsid w:val="00D926F6"/>
    <w:rsid w:val="00D928A8"/>
    <w:rsid w:val="00D92F03"/>
    <w:rsid w:val="00D9301D"/>
    <w:rsid w:val="00D93564"/>
    <w:rsid w:val="00D93610"/>
    <w:rsid w:val="00D9379B"/>
    <w:rsid w:val="00D93C85"/>
    <w:rsid w:val="00D94406"/>
    <w:rsid w:val="00D944E1"/>
    <w:rsid w:val="00D94531"/>
    <w:rsid w:val="00D9475E"/>
    <w:rsid w:val="00D94A8B"/>
    <w:rsid w:val="00D94B2F"/>
    <w:rsid w:val="00D94C17"/>
    <w:rsid w:val="00D955D6"/>
    <w:rsid w:val="00D95A07"/>
    <w:rsid w:val="00D95E3E"/>
    <w:rsid w:val="00D95F2C"/>
    <w:rsid w:val="00D962EB"/>
    <w:rsid w:val="00D9678C"/>
    <w:rsid w:val="00D96EBF"/>
    <w:rsid w:val="00D971B7"/>
    <w:rsid w:val="00D977A2"/>
    <w:rsid w:val="00D978B7"/>
    <w:rsid w:val="00D978C6"/>
    <w:rsid w:val="00D979C6"/>
    <w:rsid w:val="00D97C37"/>
    <w:rsid w:val="00DA0209"/>
    <w:rsid w:val="00DA024E"/>
    <w:rsid w:val="00DA0292"/>
    <w:rsid w:val="00DA06A1"/>
    <w:rsid w:val="00DA076E"/>
    <w:rsid w:val="00DA14FB"/>
    <w:rsid w:val="00DA1616"/>
    <w:rsid w:val="00DA1A18"/>
    <w:rsid w:val="00DA214C"/>
    <w:rsid w:val="00DA23F0"/>
    <w:rsid w:val="00DA249D"/>
    <w:rsid w:val="00DA2824"/>
    <w:rsid w:val="00DA285C"/>
    <w:rsid w:val="00DA3059"/>
    <w:rsid w:val="00DA347C"/>
    <w:rsid w:val="00DA3EE7"/>
    <w:rsid w:val="00DA4204"/>
    <w:rsid w:val="00DA436C"/>
    <w:rsid w:val="00DA4765"/>
    <w:rsid w:val="00DA47DE"/>
    <w:rsid w:val="00DA4A5F"/>
    <w:rsid w:val="00DA4A60"/>
    <w:rsid w:val="00DA4DBE"/>
    <w:rsid w:val="00DA5828"/>
    <w:rsid w:val="00DA5C31"/>
    <w:rsid w:val="00DA5E79"/>
    <w:rsid w:val="00DA5E8B"/>
    <w:rsid w:val="00DA5F4B"/>
    <w:rsid w:val="00DA6010"/>
    <w:rsid w:val="00DA692F"/>
    <w:rsid w:val="00DA6A2F"/>
    <w:rsid w:val="00DA6A3A"/>
    <w:rsid w:val="00DA6A69"/>
    <w:rsid w:val="00DA7307"/>
    <w:rsid w:val="00DA7345"/>
    <w:rsid w:val="00DA75AA"/>
    <w:rsid w:val="00DA75F5"/>
    <w:rsid w:val="00DA7B1F"/>
    <w:rsid w:val="00DA7D29"/>
    <w:rsid w:val="00DB0692"/>
    <w:rsid w:val="00DB0978"/>
    <w:rsid w:val="00DB0BCD"/>
    <w:rsid w:val="00DB0E61"/>
    <w:rsid w:val="00DB0FF5"/>
    <w:rsid w:val="00DB123F"/>
    <w:rsid w:val="00DB12A3"/>
    <w:rsid w:val="00DB1337"/>
    <w:rsid w:val="00DB179A"/>
    <w:rsid w:val="00DB199A"/>
    <w:rsid w:val="00DB20E0"/>
    <w:rsid w:val="00DB233D"/>
    <w:rsid w:val="00DB24C0"/>
    <w:rsid w:val="00DB2F16"/>
    <w:rsid w:val="00DB2F77"/>
    <w:rsid w:val="00DB32A1"/>
    <w:rsid w:val="00DB3860"/>
    <w:rsid w:val="00DB3899"/>
    <w:rsid w:val="00DB3B21"/>
    <w:rsid w:val="00DB3FAA"/>
    <w:rsid w:val="00DB4135"/>
    <w:rsid w:val="00DB441B"/>
    <w:rsid w:val="00DB4697"/>
    <w:rsid w:val="00DB5907"/>
    <w:rsid w:val="00DB62B4"/>
    <w:rsid w:val="00DB6311"/>
    <w:rsid w:val="00DB6CA8"/>
    <w:rsid w:val="00DB6D25"/>
    <w:rsid w:val="00DB6FA6"/>
    <w:rsid w:val="00DB709F"/>
    <w:rsid w:val="00DB736C"/>
    <w:rsid w:val="00DB78F3"/>
    <w:rsid w:val="00DB7DA9"/>
    <w:rsid w:val="00DC1E0E"/>
    <w:rsid w:val="00DC1F11"/>
    <w:rsid w:val="00DC212A"/>
    <w:rsid w:val="00DC3110"/>
    <w:rsid w:val="00DC382C"/>
    <w:rsid w:val="00DC3A0A"/>
    <w:rsid w:val="00DC3D32"/>
    <w:rsid w:val="00DC4236"/>
    <w:rsid w:val="00DC42CE"/>
    <w:rsid w:val="00DC441D"/>
    <w:rsid w:val="00DC45FE"/>
    <w:rsid w:val="00DC47E0"/>
    <w:rsid w:val="00DC4E3A"/>
    <w:rsid w:val="00DC5139"/>
    <w:rsid w:val="00DC5492"/>
    <w:rsid w:val="00DC57F9"/>
    <w:rsid w:val="00DC5826"/>
    <w:rsid w:val="00DC587C"/>
    <w:rsid w:val="00DC5CB2"/>
    <w:rsid w:val="00DC60C1"/>
    <w:rsid w:val="00DC6ED6"/>
    <w:rsid w:val="00DC71DE"/>
    <w:rsid w:val="00DC728F"/>
    <w:rsid w:val="00DD0345"/>
    <w:rsid w:val="00DD0C23"/>
    <w:rsid w:val="00DD0F1D"/>
    <w:rsid w:val="00DD10F1"/>
    <w:rsid w:val="00DD12C6"/>
    <w:rsid w:val="00DD1532"/>
    <w:rsid w:val="00DD196A"/>
    <w:rsid w:val="00DD19E4"/>
    <w:rsid w:val="00DD1AC6"/>
    <w:rsid w:val="00DD1BCE"/>
    <w:rsid w:val="00DD1F65"/>
    <w:rsid w:val="00DD229C"/>
    <w:rsid w:val="00DD2E1F"/>
    <w:rsid w:val="00DD32AD"/>
    <w:rsid w:val="00DD3A26"/>
    <w:rsid w:val="00DD3D15"/>
    <w:rsid w:val="00DD429C"/>
    <w:rsid w:val="00DD4CDA"/>
    <w:rsid w:val="00DD4CFE"/>
    <w:rsid w:val="00DD4DB5"/>
    <w:rsid w:val="00DD5091"/>
    <w:rsid w:val="00DD528E"/>
    <w:rsid w:val="00DD5547"/>
    <w:rsid w:val="00DD55B2"/>
    <w:rsid w:val="00DD58EB"/>
    <w:rsid w:val="00DD5B83"/>
    <w:rsid w:val="00DD6C19"/>
    <w:rsid w:val="00DD6EE1"/>
    <w:rsid w:val="00DD7522"/>
    <w:rsid w:val="00DD7BD4"/>
    <w:rsid w:val="00DE009E"/>
    <w:rsid w:val="00DE0239"/>
    <w:rsid w:val="00DE05EB"/>
    <w:rsid w:val="00DE0730"/>
    <w:rsid w:val="00DE0908"/>
    <w:rsid w:val="00DE0933"/>
    <w:rsid w:val="00DE0BA8"/>
    <w:rsid w:val="00DE0D1A"/>
    <w:rsid w:val="00DE0EE2"/>
    <w:rsid w:val="00DE138C"/>
    <w:rsid w:val="00DE18F2"/>
    <w:rsid w:val="00DE1EBE"/>
    <w:rsid w:val="00DE2676"/>
    <w:rsid w:val="00DE2B41"/>
    <w:rsid w:val="00DE2D30"/>
    <w:rsid w:val="00DE3AEC"/>
    <w:rsid w:val="00DE43EB"/>
    <w:rsid w:val="00DE4568"/>
    <w:rsid w:val="00DE4580"/>
    <w:rsid w:val="00DE4678"/>
    <w:rsid w:val="00DE469D"/>
    <w:rsid w:val="00DE4966"/>
    <w:rsid w:val="00DE5449"/>
    <w:rsid w:val="00DE545F"/>
    <w:rsid w:val="00DE5CC2"/>
    <w:rsid w:val="00DE647D"/>
    <w:rsid w:val="00DE64CD"/>
    <w:rsid w:val="00DE66B7"/>
    <w:rsid w:val="00DE6A85"/>
    <w:rsid w:val="00DE6A8B"/>
    <w:rsid w:val="00DE6E97"/>
    <w:rsid w:val="00DE7222"/>
    <w:rsid w:val="00DE7371"/>
    <w:rsid w:val="00DE77AD"/>
    <w:rsid w:val="00DE7839"/>
    <w:rsid w:val="00DE7AA4"/>
    <w:rsid w:val="00DE7B89"/>
    <w:rsid w:val="00DE7B9E"/>
    <w:rsid w:val="00DE7F4F"/>
    <w:rsid w:val="00DF14A6"/>
    <w:rsid w:val="00DF162C"/>
    <w:rsid w:val="00DF1826"/>
    <w:rsid w:val="00DF1928"/>
    <w:rsid w:val="00DF19BF"/>
    <w:rsid w:val="00DF1AB0"/>
    <w:rsid w:val="00DF23E3"/>
    <w:rsid w:val="00DF25D5"/>
    <w:rsid w:val="00DF28F5"/>
    <w:rsid w:val="00DF2BF3"/>
    <w:rsid w:val="00DF3177"/>
    <w:rsid w:val="00DF33E1"/>
    <w:rsid w:val="00DF3405"/>
    <w:rsid w:val="00DF350B"/>
    <w:rsid w:val="00DF44DE"/>
    <w:rsid w:val="00DF456F"/>
    <w:rsid w:val="00DF45F7"/>
    <w:rsid w:val="00DF46D3"/>
    <w:rsid w:val="00DF4F5A"/>
    <w:rsid w:val="00DF5576"/>
    <w:rsid w:val="00DF59AB"/>
    <w:rsid w:val="00DF5B87"/>
    <w:rsid w:val="00DF62CD"/>
    <w:rsid w:val="00DF67A3"/>
    <w:rsid w:val="00DF6B11"/>
    <w:rsid w:val="00DF71E8"/>
    <w:rsid w:val="00DF73A3"/>
    <w:rsid w:val="00DF774E"/>
    <w:rsid w:val="00DF797A"/>
    <w:rsid w:val="00E002AB"/>
    <w:rsid w:val="00E00441"/>
    <w:rsid w:val="00E0045C"/>
    <w:rsid w:val="00E005E5"/>
    <w:rsid w:val="00E00775"/>
    <w:rsid w:val="00E00C41"/>
    <w:rsid w:val="00E00F94"/>
    <w:rsid w:val="00E012FE"/>
    <w:rsid w:val="00E01D2C"/>
    <w:rsid w:val="00E01D79"/>
    <w:rsid w:val="00E0211B"/>
    <w:rsid w:val="00E02297"/>
    <w:rsid w:val="00E02453"/>
    <w:rsid w:val="00E02E69"/>
    <w:rsid w:val="00E03C1C"/>
    <w:rsid w:val="00E04748"/>
    <w:rsid w:val="00E04FB0"/>
    <w:rsid w:val="00E055BF"/>
    <w:rsid w:val="00E0564D"/>
    <w:rsid w:val="00E0614A"/>
    <w:rsid w:val="00E0614C"/>
    <w:rsid w:val="00E067D0"/>
    <w:rsid w:val="00E07BDE"/>
    <w:rsid w:val="00E10080"/>
    <w:rsid w:val="00E101FC"/>
    <w:rsid w:val="00E10D1F"/>
    <w:rsid w:val="00E115FA"/>
    <w:rsid w:val="00E11A43"/>
    <w:rsid w:val="00E11BD5"/>
    <w:rsid w:val="00E11BEB"/>
    <w:rsid w:val="00E1227D"/>
    <w:rsid w:val="00E128E4"/>
    <w:rsid w:val="00E13097"/>
    <w:rsid w:val="00E1312D"/>
    <w:rsid w:val="00E1418F"/>
    <w:rsid w:val="00E14231"/>
    <w:rsid w:val="00E142E1"/>
    <w:rsid w:val="00E142EB"/>
    <w:rsid w:val="00E14362"/>
    <w:rsid w:val="00E1437D"/>
    <w:rsid w:val="00E14767"/>
    <w:rsid w:val="00E14B85"/>
    <w:rsid w:val="00E15181"/>
    <w:rsid w:val="00E156F3"/>
    <w:rsid w:val="00E15983"/>
    <w:rsid w:val="00E15CA2"/>
    <w:rsid w:val="00E161FF"/>
    <w:rsid w:val="00E16B6B"/>
    <w:rsid w:val="00E16D84"/>
    <w:rsid w:val="00E17058"/>
    <w:rsid w:val="00E1735C"/>
    <w:rsid w:val="00E17518"/>
    <w:rsid w:val="00E17D9A"/>
    <w:rsid w:val="00E2015B"/>
    <w:rsid w:val="00E203FE"/>
    <w:rsid w:val="00E207C6"/>
    <w:rsid w:val="00E2097D"/>
    <w:rsid w:val="00E20BCE"/>
    <w:rsid w:val="00E20BF3"/>
    <w:rsid w:val="00E20F2A"/>
    <w:rsid w:val="00E21968"/>
    <w:rsid w:val="00E21E31"/>
    <w:rsid w:val="00E2216D"/>
    <w:rsid w:val="00E22A49"/>
    <w:rsid w:val="00E22B2D"/>
    <w:rsid w:val="00E22E75"/>
    <w:rsid w:val="00E22EE2"/>
    <w:rsid w:val="00E23A62"/>
    <w:rsid w:val="00E241FD"/>
    <w:rsid w:val="00E24591"/>
    <w:rsid w:val="00E24B1F"/>
    <w:rsid w:val="00E24C47"/>
    <w:rsid w:val="00E24E33"/>
    <w:rsid w:val="00E25482"/>
    <w:rsid w:val="00E256DF"/>
    <w:rsid w:val="00E25E32"/>
    <w:rsid w:val="00E264DB"/>
    <w:rsid w:val="00E26DE6"/>
    <w:rsid w:val="00E26EEC"/>
    <w:rsid w:val="00E27AAD"/>
    <w:rsid w:val="00E27C61"/>
    <w:rsid w:val="00E3015A"/>
    <w:rsid w:val="00E303C2"/>
    <w:rsid w:val="00E306CB"/>
    <w:rsid w:val="00E307DE"/>
    <w:rsid w:val="00E31027"/>
    <w:rsid w:val="00E315DC"/>
    <w:rsid w:val="00E31FDD"/>
    <w:rsid w:val="00E32080"/>
    <w:rsid w:val="00E321AE"/>
    <w:rsid w:val="00E324DE"/>
    <w:rsid w:val="00E32546"/>
    <w:rsid w:val="00E3326F"/>
    <w:rsid w:val="00E33800"/>
    <w:rsid w:val="00E33A73"/>
    <w:rsid w:val="00E35000"/>
    <w:rsid w:val="00E35A34"/>
    <w:rsid w:val="00E35ADA"/>
    <w:rsid w:val="00E35C86"/>
    <w:rsid w:val="00E366F6"/>
    <w:rsid w:val="00E36E58"/>
    <w:rsid w:val="00E370A6"/>
    <w:rsid w:val="00E375BD"/>
    <w:rsid w:val="00E37F3F"/>
    <w:rsid w:val="00E40501"/>
    <w:rsid w:val="00E40C70"/>
    <w:rsid w:val="00E40E1A"/>
    <w:rsid w:val="00E40F57"/>
    <w:rsid w:val="00E412F7"/>
    <w:rsid w:val="00E415F0"/>
    <w:rsid w:val="00E41864"/>
    <w:rsid w:val="00E41FF6"/>
    <w:rsid w:val="00E42041"/>
    <w:rsid w:val="00E424BF"/>
    <w:rsid w:val="00E4296F"/>
    <w:rsid w:val="00E42B84"/>
    <w:rsid w:val="00E42CEF"/>
    <w:rsid w:val="00E42DD5"/>
    <w:rsid w:val="00E42ED5"/>
    <w:rsid w:val="00E42F4B"/>
    <w:rsid w:val="00E430B2"/>
    <w:rsid w:val="00E43205"/>
    <w:rsid w:val="00E43315"/>
    <w:rsid w:val="00E43342"/>
    <w:rsid w:val="00E43615"/>
    <w:rsid w:val="00E43773"/>
    <w:rsid w:val="00E44954"/>
    <w:rsid w:val="00E44A9E"/>
    <w:rsid w:val="00E44C18"/>
    <w:rsid w:val="00E44D63"/>
    <w:rsid w:val="00E44EDD"/>
    <w:rsid w:val="00E44FED"/>
    <w:rsid w:val="00E450E9"/>
    <w:rsid w:val="00E45554"/>
    <w:rsid w:val="00E459C1"/>
    <w:rsid w:val="00E45C33"/>
    <w:rsid w:val="00E45C4F"/>
    <w:rsid w:val="00E45F0F"/>
    <w:rsid w:val="00E46006"/>
    <w:rsid w:val="00E466DB"/>
    <w:rsid w:val="00E4680D"/>
    <w:rsid w:val="00E46862"/>
    <w:rsid w:val="00E46C68"/>
    <w:rsid w:val="00E46E9C"/>
    <w:rsid w:val="00E47094"/>
    <w:rsid w:val="00E478FD"/>
    <w:rsid w:val="00E4795F"/>
    <w:rsid w:val="00E47D33"/>
    <w:rsid w:val="00E47DB1"/>
    <w:rsid w:val="00E50165"/>
    <w:rsid w:val="00E5030B"/>
    <w:rsid w:val="00E5042E"/>
    <w:rsid w:val="00E50445"/>
    <w:rsid w:val="00E50507"/>
    <w:rsid w:val="00E50856"/>
    <w:rsid w:val="00E50C00"/>
    <w:rsid w:val="00E51157"/>
    <w:rsid w:val="00E519EF"/>
    <w:rsid w:val="00E52158"/>
    <w:rsid w:val="00E52243"/>
    <w:rsid w:val="00E5244E"/>
    <w:rsid w:val="00E52522"/>
    <w:rsid w:val="00E52612"/>
    <w:rsid w:val="00E52BA0"/>
    <w:rsid w:val="00E52D34"/>
    <w:rsid w:val="00E52DDB"/>
    <w:rsid w:val="00E5332F"/>
    <w:rsid w:val="00E53C38"/>
    <w:rsid w:val="00E54560"/>
    <w:rsid w:val="00E54749"/>
    <w:rsid w:val="00E54CB6"/>
    <w:rsid w:val="00E54E0C"/>
    <w:rsid w:val="00E54FCB"/>
    <w:rsid w:val="00E55216"/>
    <w:rsid w:val="00E556DC"/>
    <w:rsid w:val="00E55720"/>
    <w:rsid w:val="00E557B1"/>
    <w:rsid w:val="00E55BE1"/>
    <w:rsid w:val="00E55D88"/>
    <w:rsid w:val="00E55DF6"/>
    <w:rsid w:val="00E56B86"/>
    <w:rsid w:val="00E574CD"/>
    <w:rsid w:val="00E57C7C"/>
    <w:rsid w:val="00E57E39"/>
    <w:rsid w:val="00E60193"/>
    <w:rsid w:val="00E601A4"/>
    <w:rsid w:val="00E6050B"/>
    <w:rsid w:val="00E6079E"/>
    <w:rsid w:val="00E60A99"/>
    <w:rsid w:val="00E60F56"/>
    <w:rsid w:val="00E619FD"/>
    <w:rsid w:val="00E61B5D"/>
    <w:rsid w:val="00E61CFB"/>
    <w:rsid w:val="00E62B1E"/>
    <w:rsid w:val="00E62D4E"/>
    <w:rsid w:val="00E62D7E"/>
    <w:rsid w:val="00E62E48"/>
    <w:rsid w:val="00E62F54"/>
    <w:rsid w:val="00E62FE0"/>
    <w:rsid w:val="00E6301B"/>
    <w:rsid w:val="00E63050"/>
    <w:rsid w:val="00E631AE"/>
    <w:rsid w:val="00E63403"/>
    <w:rsid w:val="00E63762"/>
    <w:rsid w:val="00E6395C"/>
    <w:rsid w:val="00E639B3"/>
    <w:rsid w:val="00E63EC9"/>
    <w:rsid w:val="00E642AE"/>
    <w:rsid w:val="00E64600"/>
    <w:rsid w:val="00E64B08"/>
    <w:rsid w:val="00E64E70"/>
    <w:rsid w:val="00E64EEE"/>
    <w:rsid w:val="00E6507C"/>
    <w:rsid w:val="00E65613"/>
    <w:rsid w:val="00E664DA"/>
    <w:rsid w:val="00E66633"/>
    <w:rsid w:val="00E66BBB"/>
    <w:rsid w:val="00E67D45"/>
    <w:rsid w:val="00E67E2E"/>
    <w:rsid w:val="00E70185"/>
    <w:rsid w:val="00E712CA"/>
    <w:rsid w:val="00E71C5D"/>
    <w:rsid w:val="00E72209"/>
    <w:rsid w:val="00E724B9"/>
    <w:rsid w:val="00E72555"/>
    <w:rsid w:val="00E725CF"/>
    <w:rsid w:val="00E73021"/>
    <w:rsid w:val="00E7307D"/>
    <w:rsid w:val="00E73231"/>
    <w:rsid w:val="00E73BCA"/>
    <w:rsid w:val="00E73F18"/>
    <w:rsid w:val="00E7471C"/>
    <w:rsid w:val="00E7487D"/>
    <w:rsid w:val="00E74BB6"/>
    <w:rsid w:val="00E74D97"/>
    <w:rsid w:val="00E75494"/>
    <w:rsid w:val="00E754A6"/>
    <w:rsid w:val="00E75572"/>
    <w:rsid w:val="00E756F4"/>
    <w:rsid w:val="00E7570A"/>
    <w:rsid w:val="00E758D3"/>
    <w:rsid w:val="00E75A69"/>
    <w:rsid w:val="00E75BE7"/>
    <w:rsid w:val="00E76239"/>
    <w:rsid w:val="00E76272"/>
    <w:rsid w:val="00E76A29"/>
    <w:rsid w:val="00E76C1B"/>
    <w:rsid w:val="00E76E40"/>
    <w:rsid w:val="00E771F5"/>
    <w:rsid w:val="00E77650"/>
    <w:rsid w:val="00E776D8"/>
    <w:rsid w:val="00E77CC3"/>
    <w:rsid w:val="00E77E85"/>
    <w:rsid w:val="00E77F02"/>
    <w:rsid w:val="00E80012"/>
    <w:rsid w:val="00E805F0"/>
    <w:rsid w:val="00E81536"/>
    <w:rsid w:val="00E8165F"/>
    <w:rsid w:val="00E818C8"/>
    <w:rsid w:val="00E81AF2"/>
    <w:rsid w:val="00E81B7F"/>
    <w:rsid w:val="00E81D29"/>
    <w:rsid w:val="00E82236"/>
    <w:rsid w:val="00E823DE"/>
    <w:rsid w:val="00E82B5E"/>
    <w:rsid w:val="00E82FD9"/>
    <w:rsid w:val="00E83038"/>
    <w:rsid w:val="00E83237"/>
    <w:rsid w:val="00E832A6"/>
    <w:rsid w:val="00E84305"/>
    <w:rsid w:val="00E84369"/>
    <w:rsid w:val="00E84458"/>
    <w:rsid w:val="00E852EF"/>
    <w:rsid w:val="00E852FB"/>
    <w:rsid w:val="00E85566"/>
    <w:rsid w:val="00E8575D"/>
    <w:rsid w:val="00E857F0"/>
    <w:rsid w:val="00E85A69"/>
    <w:rsid w:val="00E85DE7"/>
    <w:rsid w:val="00E86115"/>
    <w:rsid w:val="00E86876"/>
    <w:rsid w:val="00E86C12"/>
    <w:rsid w:val="00E86DC5"/>
    <w:rsid w:val="00E86E7B"/>
    <w:rsid w:val="00E86F0B"/>
    <w:rsid w:val="00E87CA7"/>
    <w:rsid w:val="00E87FEF"/>
    <w:rsid w:val="00E90382"/>
    <w:rsid w:val="00E90391"/>
    <w:rsid w:val="00E9043E"/>
    <w:rsid w:val="00E909B5"/>
    <w:rsid w:val="00E90C03"/>
    <w:rsid w:val="00E90E96"/>
    <w:rsid w:val="00E9113F"/>
    <w:rsid w:val="00E91792"/>
    <w:rsid w:val="00E91885"/>
    <w:rsid w:val="00E91C55"/>
    <w:rsid w:val="00E91DCB"/>
    <w:rsid w:val="00E91E8F"/>
    <w:rsid w:val="00E9237F"/>
    <w:rsid w:val="00E9263E"/>
    <w:rsid w:val="00E92F80"/>
    <w:rsid w:val="00E93005"/>
    <w:rsid w:val="00E93BA5"/>
    <w:rsid w:val="00E94001"/>
    <w:rsid w:val="00E9409F"/>
    <w:rsid w:val="00E940FE"/>
    <w:rsid w:val="00E94333"/>
    <w:rsid w:val="00E94585"/>
    <w:rsid w:val="00E945CF"/>
    <w:rsid w:val="00E946DD"/>
    <w:rsid w:val="00E956A0"/>
    <w:rsid w:val="00E957CD"/>
    <w:rsid w:val="00E95D13"/>
    <w:rsid w:val="00E95DD6"/>
    <w:rsid w:val="00E95FCC"/>
    <w:rsid w:val="00E962D2"/>
    <w:rsid w:val="00E96FAA"/>
    <w:rsid w:val="00E9732B"/>
    <w:rsid w:val="00E975D4"/>
    <w:rsid w:val="00E9764D"/>
    <w:rsid w:val="00E9792E"/>
    <w:rsid w:val="00EA011D"/>
    <w:rsid w:val="00EA016D"/>
    <w:rsid w:val="00EA0380"/>
    <w:rsid w:val="00EA068A"/>
    <w:rsid w:val="00EA0C68"/>
    <w:rsid w:val="00EA0F2D"/>
    <w:rsid w:val="00EA0FED"/>
    <w:rsid w:val="00EA1C50"/>
    <w:rsid w:val="00EA2F75"/>
    <w:rsid w:val="00EA306C"/>
    <w:rsid w:val="00EA31C8"/>
    <w:rsid w:val="00EA33FF"/>
    <w:rsid w:val="00EA3490"/>
    <w:rsid w:val="00EA3C79"/>
    <w:rsid w:val="00EA448E"/>
    <w:rsid w:val="00EA44D4"/>
    <w:rsid w:val="00EA4707"/>
    <w:rsid w:val="00EA4840"/>
    <w:rsid w:val="00EA4C54"/>
    <w:rsid w:val="00EA5068"/>
    <w:rsid w:val="00EA5BC2"/>
    <w:rsid w:val="00EA614D"/>
    <w:rsid w:val="00EA62A2"/>
    <w:rsid w:val="00EA6917"/>
    <w:rsid w:val="00EA6C1E"/>
    <w:rsid w:val="00EA701A"/>
    <w:rsid w:val="00EA7424"/>
    <w:rsid w:val="00EA75AD"/>
    <w:rsid w:val="00EA7C55"/>
    <w:rsid w:val="00EA7D88"/>
    <w:rsid w:val="00EB035A"/>
    <w:rsid w:val="00EB079B"/>
    <w:rsid w:val="00EB096D"/>
    <w:rsid w:val="00EB0A21"/>
    <w:rsid w:val="00EB0CF2"/>
    <w:rsid w:val="00EB0D54"/>
    <w:rsid w:val="00EB156F"/>
    <w:rsid w:val="00EB1818"/>
    <w:rsid w:val="00EB19F7"/>
    <w:rsid w:val="00EB1C4C"/>
    <w:rsid w:val="00EB2262"/>
    <w:rsid w:val="00EB24B9"/>
    <w:rsid w:val="00EB29DA"/>
    <w:rsid w:val="00EB381F"/>
    <w:rsid w:val="00EB39E8"/>
    <w:rsid w:val="00EB3A5E"/>
    <w:rsid w:val="00EB3C82"/>
    <w:rsid w:val="00EB3F9F"/>
    <w:rsid w:val="00EB4450"/>
    <w:rsid w:val="00EB463D"/>
    <w:rsid w:val="00EB498E"/>
    <w:rsid w:val="00EB4A61"/>
    <w:rsid w:val="00EB53F1"/>
    <w:rsid w:val="00EB5423"/>
    <w:rsid w:val="00EB5D5A"/>
    <w:rsid w:val="00EB5EBE"/>
    <w:rsid w:val="00EB66BF"/>
    <w:rsid w:val="00EB6AAA"/>
    <w:rsid w:val="00EB6AE0"/>
    <w:rsid w:val="00EB6B31"/>
    <w:rsid w:val="00EB6F3E"/>
    <w:rsid w:val="00EB72E8"/>
    <w:rsid w:val="00EB75E2"/>
    <w:rsid w:val="00EB7ACC"/>
    <w:rsid w:val="00EB7E92"/>
    <w:rsid w:val="00EB7FAF"/>
    <w:rsid w:val="00EC023F"/>
    <w:rsid w:val="00EC0652"/>
    <w:rsid w:val="00EC0757"/>
    <w:rsid w:val="00EC078E"/>
    <w:rsid w:val="00EC14B1"/>
    <w:rsid w:val="00EC1F3E"/>
    <w:rsid w:val="00EC2120"/>
    <w:rsid w:val="00EC2375"/>
    <w:rsid w:val="00EC2433"/>
    <w:rsid w:val="00EC261A"/>
    <w:rsid w:val="00EC28DF"/>
    <w:rsid w:val="00EC2991"/>
    <w:rsid w:val="00EC33E4"/>
    <w:rsid w:val="00EC3557"/>
    <w:rsid w:val="00EC3AB0"/>
    <w:rsid w:val="00EC3BFF"/>
    <w:rsid w:val="00EC3D29"/>
    <w:rsid w:val="00EC40EB"/>
    <w:rsid w:val="00EC49F7"/>
    <w:rsid w:val="00EC4B86"/>
    <w:rsid w:val="00EC4D6F"/>
    <w:rsid w:val="00EC4FAD"/>
    <w:rsid w:val="00EC52BE"/>
    <w:rsid w:val="00EC5E0A"/>
    <w:rsid w:val="00EC5EF6"/>
    <w:rsid w:val="00EC61B8"/>
    <w:rsid w:val="00EC62F9"/>
    <w:rsid w:val="00EC6A96"/>
    <w:rsid w:val="00EC6FC7"/>
    <w:rsid w:val="00EC7200"/>
    <w:rsid w:val="00EC749E"/>
    <w:rsid w:val="00EC7B09"/>
    <w:rsid w:val="00EC7CEB"/>
    <w:rsid w:val="00ED01E7"/>
    <w:rsid w:val="00ED0290"/>
    <w:rsid w:val="00ED0526"/>
    <w:rsid w:val="00ED06ED"/>
    <w:rsid w:val="00ED0729"/>
    <w:rsid w:val="00ED0994"/>
    <w:rsid w:val="00ED0E3F"/>
    <w:rsid w:val="00ED0FB5"/>
    <w:rsid w:val="00ED12B3"/>
    <w:rsid w:val="00ED147C"/>
    <w:rsid w:val="00ED151A"/>
    <w:rsid w:val="00ED1B49"/>
    <w:rsid w:val="00ED1C4C"/>
    <w:rsid w:val="00ED2512"/>
    <w:rsid w:val="00ED2D66"/>
    <w:rsid w:val="00ED2F7C"/>
    <w:rsid w:val="00ED339A"/>
    <w:rsid w:val="00ED3650"/>
    <w:rsid w:val="00ED37B2"/>
    <w:rsid w:val="00ED3AD8"/>
    <w:rsid w:val="00ED3C7D"/>
    <w:rsid w:val="00ED3D84"/>
    <w:rsid w:val="00ED429E"/>
    <w:rsid w:val="00ED485E"/>
    <w:rsid w:val="00ED4A99"/>
    <w:rsid w:val="00ED4F29"/>
    <w:rsid w:val="00ED513B"/>
    <w:rsid w:val="00ED535F"/>
    <w:rsid w:val="00ED5409"/>
    <w:rsid w:val="00ED599E"/>
    <w:rsid w:val="00ED5E52"/>
    <w:rsid w:val="00ED5EBF"/>
    <w:rsid w:val="00ED6029"/>
    <w:rsid w:val="00ED60D5"/>
    <w:rsid w:val="00ED6193"/>
    <w:rsid w:val="00ED61A7"/>
    <w:rsid w:val="00ED6399"/>
    <w:rsid w:val="00ED642C"/>
    <w:rsid w:val="00ED67A2"/>
    <w:rsid w:val="00ED6DA8"/>
    <w:rsid w:val="00ED7048"/>
    <w:rsid w:val="00ED71BF"/>
    <w:rsid w:val="00ED73BC"/>
    <w:rsid w:val="00ED7796"/>
    <w:rsid w:val="00EE0754"/>
    <w:rsid w:val="00EE0B32"/>
    <w:rsid w:val="00EE1633"/>
    <w:rsid w:val="00EE1EF4"/>
    <w:rsid w:val="00EE202E"/>
    <w:rsid w:val="00EE2478"/>
    <w:rsid w:val="00EE25CC"/>
    <w:rsid w:val="00EE344B"/>
    <w:rsid w:val="00EE3467"/>
    <w:rsid w:val="00EE34CF"/>
    <w:rsid w:val="00EE376D"/>
    <w:rsid w:val="00EE384C"/>
    <w:rsid w:val="00EE38DB"/>
    <w:rsid w:val="00EE4060"/>
    <w:rsid w:val="00EE40D9"/>
    <w:rsid w:val="00EE47A1"/>
    <w:rsid w:val="00EE4D05"/>
    <w:rsid w:val="00EE4FBB"/>
    <w:rsid w:val="00EE51EE"/>
    <w:rsid w:val="00EE52DB"/>
    <w:rsid w:val="00EE5C16"/>
    <w:rsid w:val="00EE5E69"/>
    <w:rsid w:val="00EE5EBF"/>
    <w:rsid w:val="00EE603A"/>
    <w:rsid w:val="00EE61DC"/>
    <w:rsid w:val="00EE655F"/>
    <w:rsid w:val="00EE66F0"/>
    <w:rsid w:val="00EE6D9E"/>
    <w:rsid w:val="00EE73D4"/>
    <w:rsid w:val="00EE7417"/>
    <w:rsid w:val="00EE7439"/>
    <w:rsid w:val="00EE7E66"/>
    <w:rsid w:val="00EF0128"/>
    <w:rsid w:val="00EF0207"/>
    <w:rsid w:val="00EF02B9"/>
    <w:rsid w:val="00EF0460"/>
    <w:rsid w:val="00EF08C5"/>
    <w:rsid w:val="00EF0CEF"/>
    <w:rsid w:val="00EF0D11"/>
    <w:rsid w:val="00EF0E65"/>
    <w:rsid w:val="00EF181E"/>
    <w:rsid w:val="00EF1846"/>
    <w:rsid w:val="00EF19A6"/>
    <w:rsid w:val="00EF1FD9"/>
    <w:rsid w:val="00EF1FFB"/>
    <w:rsid w:val="00EF2B2B"/>
    <w:rsid w:val="00EF2C8A"/>
    <w:rsid w:val="00EF2D48"/>
    <w:rsid w:val="00EF34CF"/>
    <w:rsid w:val="00EF362C"/>
    <w:rsid w:val="00EF3861"/>
    <w:rsid w:val="00EF39C2"/>
    <w:rsid w:val="00EF3FC4"/>
    <w:rsid w:val="00EF485E"/>
    <w:rsid w:val="00EF49EE"/>
    <w:rsid w:val="00EF4A2C"/>
    <w:rsid w:val="00EF4A8A"/>
    <w:rsid w:val="00EF50D5"/>
    <w:rsid w:val="00EF5708"/>
    <w:rsid w:val="00EF6621"/>
    <w:rsid w:val="00EF6966"/>
    <w:rsid w:val="00EF6C93"/>
    <w:rsid w:val="00EF6E56"/>
    <w:rsid w:val="00EF6FFC"/>
    <w:rsid w:val="00EF717A"/>
    <w:rsid w:val="00EF7189"/>
    <w:rsid w:val="00EF7BA3"/>
    <w:rsid w:val="00EF7CA8"/>
    <w:rsid w:val="00F00841"/>
    <w:rsid w:val="00F00EEF"/>
    <w:rsid w:val="00F00EFC"/>
    <w:rsid w:val="00F0116F"/>
    <w:rsid w:val="00F01432"/>
    <w:rsid w:val="00F019F2"/>
    <w:rsid w:val="00F01D3B"/>
    <w:rsid w:val="00F01F85"/>
    <w:rsid w:val="00F01FEA"/>
    <w:rsid w:val="00F027A6"/>
    <w:rsid w:val="00F02B1C"/>
    <w:rsid w:val="00F02BA8"/>
    <w:rsid w:val="00F02BD0"/>
    <w:rsid w:val="00F02C6F"/>
    <w:rsid w:val="00F02D55"/>
    <w:rsid w:val="00F030B2"/>
    <w:rsid w:val="00F032F0"/>
    <w:rsid w:val="00F033D6"/>
    <w:rsid w:val="00F03437"/>
    <w:rsid w:val="00F03588"/>
    <w:rsid w:val="00F037B6"/>
    <w:rsid w:val="00F0382C"/>
    <w:rsid w:val="00F03B46"/>
    <w:rsid w:val="00F03E4F"/>
    <w:rsid w:val="00F04698"/>
    <w:rsid w:val="00F04810"/>
    <w:rsid w:val="00F04A56"/>
    <w:rsid w:val="00F04A8C"/>
    <w:rsid w:val="00F04BD5"/>
    <w:rsid w:val="00F04C02"/>
    <w:rsid w:val="00F04D2D"/>
    <w:rsid w:val="00F050F6"/>
    <w:rsid w:val="00F05340"/>
    <w:rsid w:val="00F05F9A"/>
    <w:rsid w:val="00F06327"/>
    <w:rsid w:val="00F06BA8"/>
    <w:rsid w:val="00F06FD0"/>
    <w:rsid w:val="00F07178"/>
    <w:rsid w:val="00F07369"/>
    <w:rsid w:val="00F075F7"/>
    <w:rsid w:val="00F0793A"/>
    <w:rsid w:val="00F07CE4"/>
    <w:rsid w:val="00F07FAB"/>
    <w:rsid w:val="00F105CD"/>
    <w:rsid w:val="00F105DF"/>
    <w:rsid w:val="00F107D9"/>
    <w:rsid w:val="00F10832"/>
    <w:rsid w:val="00F10946"/>
    <w:rsid w:val="00F10D6C"/>
    <w:rsid w:val="00F11680"/>
    <w:rsid w:val="00F1183A"/>
    <w:rsid w:val="00F118FA"/>
    <w:rsid w:val="00F124D4"/>
    <w:rsid w:val="00F12566"/>
    <w:rsid w:val="00F12B75"/>
    <w:rsid w:val="00F13169"/>
    <w:rsid w:val="00F131D8"/>
    <w:rsid w:val="00F13889"/>
    <w:rsid w:val="00F1393F"/>
    <w:rsid w:val="00F139BE"/>
    <w:rsid w:val="00F13FF2"/>
    <w:rsid w:val="00F1409A"/>
    <w:rsid w:val="00F14416"/>
    <w:rsid w:val="00F14514"/>
    <w:rsid w:val="00F1475D"/>
    <w:rsid w:val="00F14BE7"/>
    <w:rsid w:val="00F155DD"/>
    <w:rsid w:val="00F15731"/>
    <w:rsid w:val="00F16E27"/>
    <w:rsid w:val="00F176ED"/>
    <w:rsid w:val="00F20225"/>
    <w:rsid w:val="00F20480"/>
    <w:rsid w:val="00F205FA"/>
    <w:rsid w:val="00F20752"/>
    <w:rsid w:val="00F21552"/>
    <w:rsid w:val="00F216F4"/>
    <w:rsid w:val="00F21FF0"/>
    <w:rsid w:val="00F2282B"/>
    <w:rsid w:val="00F22E23"/>
    <w:rsid w:val="00F2339A"/>
    <w:rsid w:val="00F2355A"/>
    <w:rsid w:val="00F238A3"/>
    <w:rsid w:val="00F23A6F"/>
    <w:rsid w:val="00F23ACA"/>
    <w:rsid w:val="00F23EB2"/>
    <w:rsid w:val="00F241A0"/>
    <w:rsid w:val="00F24595"/>
    <w:rsid w:val="00F2469D"/>
    <w:rsid w:val="00F24A55"/>
    <w:rsid w:val="00F24D65"/>
    <w:rsid w:val="00F24E0E"/>
    <w:rsid w:val="00F25551"/>
    <w:rsid w:val="00F255BF"/>
    <w:rsid w:val="00F25801"/>
    <w:rsid w:val="00F258A5"/>
    <w:rsid w:val="00F25B41"/>
    <w:rsid w:val="00F25FA6"/>
    <w:rsid w:val="00F2618A"/>
    <w:rsid w:val="00F26857"/>
    <w:rsid w:val="00F26E00"/>
    <w:rsid w:val="00F26F7E"/>
    <w:rsid w:val="00F27B20"/>
    <w:rsid w:val="00F27CD8"/>
    <w:rsid w:val="00F3038E"/>
    <w:rsid w:val="00F303C8"/>
    <w:rsid w:val="00F30444"/>
    <w:rsid w:val="00F3087D"/>
    <w:rsid w:val="00F30B05"/>
    <w:rsid w:val="00F30DF2"/>
    <w:rsid w:val="00F31D82"/>
    <w:rsid w:val="00F31DF6"/>
    <w:rsid w:val="00F31F53"/>
    <w:rsid w:val="00F32164"/>
    <w:rsid w:val="00F329B3"/>
    <w:rsid w:val="00F32AA7"/>
    <w:rsid w:val="00F32B03"/>
    <w:rsid w:val="00F32F4D"/>
    <w:rsid w:val="00F336D7"/>
    <w:rsid w:val="00F342A1"/>
    <w:rsid w:val="00F34396"/>
    <w:rsid w:val="00F343CB"/>
    <w:rsid w:val="00F3463D"/>
    <w:rsid w:val="00F3466B"/>
    <w:rsid w:val="00F348B5"/>
    <w:rsid w:val="00F34C95"/>
    <w:rsid w:val="00F34CAA"/>
    <w:rsid w:val="00F3520C"/>
    <w:rsid w:val="00F35453"/>
    <w:rsid w:val="00F35780"/>
    <w:rsid w:val="00F359AD"/>
    <w:rsid w:val="00F359D8"/>
    <w:rsid w:val="00F35AF8"/>
    <w:rsid w:val="00F361FF"/>
    <w:rsid w:val="00F3656A"/>
    <w:rsid w:val="00F36575"/>
    <w:rsid w:val="00F36636"/>
    <w:rsid w:val="00F3679D"/>
    <w:rsid w:val="00F36C4A"/>
    <w:rsid w:val="00F37108"/>
    <w:rsid w:val="00F372F3"/>
    <w:rsid w:val="00F377D4"/>
    <w:rsid w:val="00F379E5"/>
    <w:rsid w:val="00F37CE8"/>
    <w:rsid w:val="00F403B6"/>
    <w:rsid w:val="00F40620"/>
    <w:rsid w:val="00F40904"/>
    <w:rsid w:val="00F40978"/>
    <w:rsid w:val="00F40FC8"/>
    <w:rsid w:val="00F41183"/>
    <w:rsid w:val="00F4178A"/>
    <w:rsid w:val="00F41BEA"/>
    <w:rsid w:val="00F41C57"/>
    <w:rsid w:val="00F41DA1"/>
    <w:rsid w:val="00F41E4B"/>
    <w:rsid w:val="00F41E95"/>
    <w:rsid w:val="00F4202F"/>
    <w:rsid w:val="00F4222C"/>
    <w:rsid w:val="00F422C7"/>
    <w:rsid w:val="00F42E14"/>
    <w:rsid w:val="00F43242"/>
    <w:rsid w:val="00F43300"/>
    <w:rsid w:val="00F436FA"/>
    <w:rsid w:val="00F43796"/>
    <w:rsid w:val="00F43A61"/>
    <w:rsid w:val="00F43B68"/>
    <w:rsid w:val="00F43DAA"/>
    <w:rsid w:val="00F44153"/>
    <w:rsid w:val="00F44620"/>
    <w:rsid w:val="00F44713"/>
    <w:rsid w:val="00F448E2"/>
    <w:rsid w:val="00F4538C"/>
    <w:rsid w:val="00F455A0"/>
    <w:rsid w:val="00F456A1"/>
    <w:rsid w:val="00F45CFF"/>
    <w:rsid w:val="00F461E1"/>
    <w:rsid w:val="00F463AC"/>
    <w:rsid w:val="00F466CA"/>
    <w:rsid w:val="00F46BF7"/>
    <w:rsid w:val="00F46F24"/>
    <w:rsid w:val="00F4789F"/>
    <w:rsid w:val="00F47B83"/>
    <w:rsid w:val="00F47D01"/>
    <w:rsid w:val="00F50080"/>
    <w:rsid w:val="00F5079E"/>
    <w:rsid w:val="00F509E5"/>
    <w:rsid w:val="00F50BA8"/>
    <w:rsid w:val="00F50C4A"/>
    <w:rsid w:val="00F50F4D"/>
    <w:rsid w:val="00F5121C"/>
    <w:rsid w:val="00F5125E"/>
    <w:rsid w:val="00F5138C"/>
    <w:rsid w:val="00F513DD"/>
    <w:rsid w:val="00F51FF8"/>
    <w:rsid w:val="00F524B3"/>
    <w:rsid w:val="00F52668"/>
    <w:rsid w:val="00F528B6"/>
    <w:rsid w:val="00F52C7E"/>
    <w:rsid w:val="00F52D2B"/>
    <w:rsid w:val="00F52DD6"/>
    <w:rsid w:val="00F52E43"/>
    <w:rsid w:val="00F52F51"/>
    <w:rsid w:val="00F52FE6"/>
    <w:rsid w:val="00F53174"/>
    <w:rsid w:val="00F53B20"/>
    <w:rsid w:val="00F53FAF"/>
    <w:rsid w:val="00F548C6"/>
    <w:rsid w:val="00F54D49"/>
    <w:rsid w:val="00F54DE2"/>
    <w:rsid w:val="00F55072"/>
    <w:rsid w:val="00F55182"/>
    <w:rsid w:val="00F551FC"/>
    <w:rsid w:val="00F552B1"/>
    <w:rsid w:val="00F5543C"/>
    <w:rsid w:val="00F55C68"/>
    <w:rsid w:val="00F56063"/>
    <w:rsid w:val="00F5609F"/>
    <w:rsid w:val="00F565AF"/>
    <w:rsid w:val="00F569A2"/>
    <w:rsid w:val="00F56A13"/>
    <w:rsid w:val="00F5716B"/>
    <w:rsid w:val="00F5718E"/>
    <w:rsid w:val="00F57218"/>
    <w:rsid w:val="00F57307"/>
    <w:rsid w:val="00F57633"/>
    <w:rsid w:val="00F57900"/>
    <w:rsid w:val="00F57E99"/>
    <w:rsid w:val="00F6018B"/>
    <w:rsid w:val="00F6084C"/>
    <w:rsid w:val="00F61BA5"/>
    <w:rsid w:val="00F6218A"/>
    <w:rsid w:val="00F621E4"/>
    <w:rsid w:val="00F62280"/>
    <w:rsid w:val="00F6244E"/>
    <w:rsid w:val="00F62451"/>
    <w:rsid w:val="00F62623"/>
    <w:rsid w:val="00F62DF6"/>
    <w:rsid w:val="00F62FE8"/>
    <w:rsid w:val="00F63078"/>
    <w:rsid w:val="00F6308E"/>
    <w:rsid w:val="00F6331A"/>
    <w:rsid w:val="00F6363C"/>
    <w:rsid w:val="00F63988"/>
    <w:rsid w:val="00F6442C"/>
    <w:rsid w:val="00F6489A"/>
    <w:rsid w:val="00F64D50"/>
    <w:rsid w:val="00F64D6F"/>
    <w:rsid w:val="00F64DC9"/>
    <w:rsid w:val="00F64EF8"/>
    <w:rsid w:val="00F64FA1"/>
    <w:rsid w:val="00F657DD"/>
    <w:rsid w:val="00F65D31"/>
    <w:rsid w:val="00F65DCB"/>
    <w:rsid w:val="00F65E23"/>
    <w:rsid w:val="00F65E49"/>
    <w:rsid w:val="00F65F95"/>
    <w:rsid w:val="00F660C4"/>
    <w:rsid w:val="00F665C1"/>
    <w:rsid w:val="00F66951"/>
    <w:rsid w:val="00F66AF4"/>
    <w:rsid w:val="00F66C5C"/>
    <w:rsid w:val="00F66D9F"/>
    <w:rsid w:val="00F67444"/>
    <w:rsid w:val="00F67594"/>
    <w:rsid w:val="00F677F5"/>
    <w:rsid w:val="00F67D31"/>
    <w:rsid w:val="00F70064"/>
    <w:rsid w:val="00F706C9"/>
    <w:rsid w:val="00F70D03"/>
    <w:rsid w:val="00F712FB"/>
    <w:rsid w:val="00F7164A"/>
    <w:rsid w:val="00F719A2"/>
    <w:rsid w:val="00F72F9D"/>
    <w:rsid w:val="00F73157"/>
    <w:rsid w:val="00F73496"/>
    <w:rsid w:val="00F73C36"/>
    <w:rsid w:val="00F742C4"/>
    <w:rsid w:val="00F7457C"/>
    <w:rsid w:val="00F747B1"/>
    <w:rsid w:val="00F74BFE"/>
    <w:rsid w:val="00F74C0D"/>
    <w:rsid w:val="00F7570B"/>
    <w:rsid w:val="00F75B45"/>
    <w:rsid w:val="00F75BB0"/>
    <w:rsid w:val="00F75F14"/>
    <w:rsid w:val="00F7615E"/>
    <w:rsid w:val="00F76231"/>
    <w:rsid w:val="00F76320"/>
    <w:rsid w:val="00F768CC"/>
    <w:rsid w:val="00F775BA"/>
    <w:rsid w:val="00F77873"/>
    <w:rsid w:val="00F77CE3"/>
    <w:rsid w:val="00F80322"/>
    <w:rsid w:val="00F80343"/>
    <w:rsid w:val="00F807BE"/>
    <w:rsid w:val="00F80B74"/>
    <w:rsid w:val="00F8153F"/>
    <w:rsid w:val="00F8175F"/>
    <w:rsid w:val="00F8183E"/>
    <w:rsid w:val="00F81B14"/>
    <w:rsid w:val="00F81D69"/>
    <w:rsid w:val="00F81FAF"/>
    <w:rsid w:val="00F82014"/>
    <w:rsid w:val="00F82ABA"/>
    <w:rsid w:val="00F82E67"/>
    <w:rsid w:val="00F83F24"/>
    <w:rsid w:val="00F84B22"/>
    <w:rsid w:val="00F84B24"/>
    <w:rsid w:val="00F84D91"/>
    <w:rsid w:val="00F84EFC"/>
    <w:rsid w:val="00F85340"/>
    <w:rsid w:val="00F85778"/>
    <w:rsid w:val="00F85D7C"/>
    <w:rsid w:val="00F85FBA"/>
    <w:rsid w:val="00F85FBB"/>
    <w:rsid w:val="00F8629E"/>
    <w:rsid w:val="00F86868"/>
    <w:rsid w:val="00F86901"/>
    <w:rsid w:val="00F87014"/>
    <w:rsid w:val="00F879B2"/>
    <w:rsid w:val="00F87D5A"/>
    <w:rsid w:val="00F87EFF"/>
    <w:rsid w:val="00F90238"/>
    <w:rsid w:val="00F90A3E"/>
    <w:rsid w:val="00F90BDB"/>
    <w:rsid w:val="00F90EA9"/>
    <w:rsid w:val="00F9177C"/>
    <w:rsid w:val="00F91807"/>
    <w:rsid w:val="00F9189C"/>
    <w:rsid w:val="00F918F3"/>
    <w:rsid w:val="00F9288E"/>
    <w:rsid w:val="00F92A4E"/>
    <w:rsid w:val="00F92BF8"/>
    <w:rsid w:val="00F9310B"/>
    <w:rsid w:val="00F939E8"/>
    <w:rsid w:val="00F94466"/>
    <w:rsid w:val="00F9452C"/>
    <w:rsid w:val="00F94C51"/>
    <w:rsid w:val="00F9501B"/>
    <w:rsid w:val="00F956E5"/>
    <w:rsid w:val="00F959E9"/>
    <w:rsid w:val="00F97547"/>
    <w:rsid w:val="00F97818"/>
    <w:rsid w:val="00F9788C"/>
    <w:rsid w:val="00F97D95"/>
    <w:rsid w:val="00FA025D"/>
    <w:rsid w:val="00FA02D5"/>
    <w:rsid w:val="00FA0395"/>
    <w:rsid w:val="00FA06E8"/>
    <w:rsid w:val="00FA074B"/>
    <w:rsid w:val="00FA0A3C"/>
    <w:rsid w:val="00FA1144"/>
    <w:rsid w:val="00FA141B"/>
    <w:rsid w:val="00FA1760"/>
    <w:rsid w:val="00FA1C28"/>
    <w:rsid w:val="00FA2118"/>
    <w:rsid w:val="00FA24CA"/>
    <w:rsid w:val="00FA33C1"/>
    <w:rsid w:val="00FA350B"/>
    <w:rsid w:val="00FA3806"/>
    <w:rsid w:val="00FA4011"/>
    <w:rsid w:val="00FA4345"/>
    <w:rsid w:val="00FA4E32"/>
    <w:rsid w:val="00FA4F7F"/>
    <w:rsid w:val="00FA4FEA"/>
    <w:rsid w:val="00FA562D"/>
    <w:rsid w:val="00FA5895"/>
    <w:rsid w:val="00FA5E40"/>
    <w:rsid w:val="00FA6426"/>
    <w:rsid w:val="00FA64A4"/>
    <w:rsid w:val="00FA65CE"/>
    <w:rsid w:val="00FA7399"/>
    <w:rsid w:val="00FA77A2"/>
    <w:rsid w:val="00FA799B"/>
    <w:rsid w:val="00FB0091"/>
    <w:rsid w:val="00FB0112"/>
    <w:rsid w:val="00FB0669"/>
    <w:rsid w:val="00FB09B7"/>
    <w:rsid w:val="00FB0CFC"/>
    <w:rsid w:val="00FB0E19"/>
    <w:rsid w:val="00FB0E5A"/>
    <w:rsid w:val="00FB0E95"/>
    <w:rsid w:val="00FB0F55"/>
    <w:rsid w:val="00FB11C1"/>
    <w:rsid w:val="00FB154F"/>
    <w:rsid w:val="00FB16CB"/>
    <w:rsid w:val="00FB1C73"/>
    <w:rsid w:val="00FB2054"/>
    <w:rsid w:val="00FB208A"/>
    <w:rsid w:val="00FB28D6"/>
    <w:rsid w:val="00FB293C"/>
    <w:rsid w:val="00FB308D"/>
    <w:rsid w:val="00FB354A"/>
    <w:rsid w:val="00FB357F"/>
    <w:rsid w:val="00FB365C"/>
    <w:rsid w:val="00FB391F"/>
    <w:rsid w:val="00FB3B2A"/>
    <w:rsid w:val="00FB4835"/>
    <w:rsid w:val="00FB4959"/>
    <w:rsid w:val="00FB4D82"/>
    <w:rsid w:val="00FB4EDD"/>
    <w:rsid w:val="00FB510E"/>
    <w:rsid w:val="00FB5732"/>
    <w:rsid w:val="00FB5A17"/>
    <w:rsid w:val="00FB5A5D"/>
    <w:rsid w:val="00FB5D7F"/>
    <w:rsid w:val="00FB61D4"/>
    <w:rsid w:val="00FB6D86"/>
    <w:rsid w:val="00FB6E19"/>
    <w:rsid w:val="00FB7287"/>
    <w:rsid w:val="00FB7354"/>
    <w:rsid w:val="00FB7523"/>
    <w:rsid w:val="00FB76FD"/>
    <w:rsid w:val="00FB7759"/>
    <w:rsid w:val="00FB7B63"/>
    <w:rsid w:val="00FB7D63"/>
    <w:rsid w:val="00FB7F78"/>
    <w:rsid w:val="00FC0614"/>
    <w:rsid w:val="00FC06F1"/>
    <w:rsid w:val="00FC07E9"/>
    <w:rsid w:val="00FC083E"/>
    <w:rsid w:val="00FC095B"/>
    <w:rsid w:val="00FC0B5E"/>
    <w:rsid w:val="00FC0C94"/>
    <w:rsid w:val="00FC144D"/>
    <w:rsid w:val="00FC1B3B"/>
    <w:rsid w:val="00FC22D4"/>
    <w:rsid w:val="00FC2A33"/>
    <w:rsid w:val="00FC2FCB"/>
    <w:rsid w:val="00FC3882"/>
    <w:rsid w:val="00FC3C73"/>
    <w:rsid w:val="00FC425A"/>
    <w:rsid w:val="00FC4299"/>
    <w:rsid w:val="00FC46AE"/>
    <w:rsid w:val="00FC4788"/>
    <w:rsid w:val="00FC4C44"/>
    <w:rsid w:val="00FC514C"/>
    <w:rsid w:val="00FC53A9"/>
    <w:rsid w:val="00FC55BB"/>
    <w:rsid w:val="00FC569B"/>
    <w:rsid w:val="00FC5BE6"/>
    <w:rsid w:val="00FC5F23"/>
    <w:rsid w:val="00FC6176"/>
    <w:rsid w:val="00FC63E2"/>
    <w:rsid w:val="00FC66D8"/>
    <w:rsid w:val="00FC6B28"/>
    <w:rsid w:val="00FC6C46"/>
    <w:rsid w:val="00FC73ED"/>
    <w:rsid w:val="00FC7483"/>
    <w:rsid w:val="00FC776A"/>
    <w:rsid w:val="00FC77C5"/>
    <w:rsid w:val="00FC7E74"/>
    <w:rsid w:val="00FD06E6"/>
    <w:rsid w:val="00FD0D20"/>
    <w:rsid w:val="00FD0EA2"/>
    <w:rsid w:val="00FD0F58"/>
    <w:rsid w:val="00FD15D5"/>
    <w:rsid w:val="00FD1705"/>
    <w:rsid w:val="00FD1BA4"/>
    <w:rsid w:val="00FD1C57"/>
    <w:rsid w:val="00FD1D68"/>
    <w:rsid w:val="00FD205B"/>
    <w:rsid w:val="00FD2133"/>
    <w:rsid w:val="00FD2356"/>
    <w:rsid w:val="00FD254D"/>
    <w:rsid w:val="00FD262E"/>
    <w:rsid w:val="00FD293E"/>
    <w:rsid w:val="00FD2CE8"/>
    <w:rsid w:val="00FD3277"/>
    <w:rsid w:val="00FD3513"/>
    <w:rsid w:val="00FD379F"/>
    <w:rsid w:val="00FD3D27"/>
    <w:rsid w:val="00FD3F16"/>
    <w:rsid w:val="00FD418C"/>
    <w:rsid w:val="00FD45E7"/>
    <w:rsid w:val="00FD5107"/>
    <w:rsid w:val="00FD5686"/>
    <w:rsid w:val="00FD5690"/>
    <w:rsid w:val="00FD5F44"/>
    <w:rsid w:val="00FD651A"/>
    <w:rsid w:val="00FD6690"/>
    <w:rsid w:val="00FD673A"/>
    <w:rsid w:val="00FD6758"/>
    <w:rsid w:val="00FD7050"/>
    <w:rsid w:val="00FD71D2"/>
    <w:rsid w:val="00FD7305"/>
    <w:rsid w:val="00FD785C"/>
    <w:rsid w:val="00FD797F"/>
    <w:rsid w:val="00FD7FB6"/>
    <w:rsid w:val="00FE052D"/>
    <w:rsid w:val="00FE0A9E"/>
    <w:rsid w:val="00FE0EB0"/>
    <w:rsid w:val="00FE1128"/>
    <w:rsid w:val="00FE127C"/>
    <w:rsid w:val="00FE12C3"/>
    <w:rsid w:val="00FE14C3"/>
    <w:rsid w:val="00FE14D4"/>
    <w:rsid w:val="00FE1968"/>
    <w:rsid w:val="00FE1CFA"/>
    <w:rsid w:val="00FE1FF6"/>
    <w:rsid w:val="00FE2362"/>
    <w:rsid w:val="00FE3075"/>
    <w:rsid w:val="00FE348D"/>
    <w:rsid w:val="00FE38A3"/>
    <w:rsid w:val="00FE3B89"/>
    <w:rsid w:val="00FE4098"/>
    <w:rsid w:val="00FE44B4"/>
    <w:rsid w:val="00FE4520"/>
    <w:rsid w:val="00FE48AE"/>
    <w:rsid w:val="00FE48B8"/>
    <w:rsid w:val="00FE49E6"/>
    <w:rsid w:val="00FE50EF"/>
    <w:rsid w:val="00FE5148"/>
    <w:rsid w:val="00FE54AB"/>
    <w:rsid w:val="00FE5C94"/>
    <w:rsid w:val="00FE5D27"/>
    <w:rsid w:val="00FE5DF2"/>
    <w:rsid w:val="00FE6409"/>
    <w:rsid w:val="00FE6B61"/>
    <w:rsid w:val="00FE6F56"/>
    <w:rsid w:val="00FE6FE4"/>
    <w:rsid w:val="00FE6FE9"/>
    <w:rsid w:val="00FE74F7"/>
    <w:rsid w:val="00FE769D"/>
    <w:rsid w:val="00FE76D9"/>
    <w:rsid w:val="00FE797D"/>
    <w:rsid w:val="00FE7B2D"/>
    <w:rsid w:val="00FE7D38"/>
    <w:rsid w:val="00FE7FD8"/>
    <w:rsid w:val="00FF0803"/>
    <w:rsid w:val="00FF0982"/>
    <w:rsid w:val="00FF0C56"/>
    <w:rsid w:val="00FF0EF6"/>
    <w:rsid w:val="00FF118E"/>
    <w:rsid w:val="00FF1391"/>
    <w:rsid w:val="00FF1484"/>
    <w:rsid w:val="00FF155A"/>
    <w:rsid w:val="00FF1745"/>
    <w:rsid w:val="00FF1A11"/>
    <w:rsid w:val="00FF1AA9"/>
    <w:rsid w:val="00FF1B84"/>
    <w:rsid w:val="00FF1E2E"/>
    <w:rsid w:val="00FF1F3E"/>
    <w:rsid w:val="00FF201C"/>
    <w:rsid w:val="00FF2027"/>
    <w:rsid w:val="00FF20D4"/>
    <w:rsid w:val="00FF2322"/>
    <w:rsid w:val="00FF23E6"/>
    <w:rsid w:val="00FF2D32"/>
    <w:rsid w:val="00FF2DBC"/>
    <w:rsid w:val="00FF2E87"/>
    <w:rsid w:val="00FF360A"/>
    <w:rsid w:val="00FF37E9"/>
    <w:rsid w:val="00FF397C"/>
    <w:rsid w:val="00FF3D97"/>
    <w:rsid w:val="00FF4EE6"/>
    <w:rsid w:val="00FF561D"/>
    <w:rsid w:val="00FF5644"/>
    <w:rsid w:val="00FF56F7"/>
    <w:rsid w:val="00FF5888"/>
    <w:rsid w:val="00FF5A85"/>
    <w:rsid w:val="00FF6872"/>
    <w:rsid w:val="00FF6AB0"/>
    <w:rsid w:val="00FF6CDE"/>
    <w:rsid w:val="00FF6FB6"/>
    <w:rsid w:val="00FF7053"/>
    <w:rsid w:val="00FF7054"/>
    <w:rsid w:val="00FF70B1"/>
    <w:rsid w:val="00FF77AB"/>
    <w:rsid w:val="00FF7A99"/>
    <w:rsid w:val="00FF7B2D"/>
    <w:rsid w:val="00FF7F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296E9"/>
  <w15:docId w15:val="{BFBE0A1E-69F4-4852-8A76-FFB4DF66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F52"/>
    <w:pPr>
      <w:spacing w:after="160" w:line="259" w:lineRule="auto"/>
    </w:pPr>
    <w:rPr>
      <w:rFonts w:eastAsiaTheme="minorHAnsi"/>
      <w:lang w:eastAsia="en-US"/>
    </w:rPr>
  </w:style>
  <w:style w:type="paragraph" w:styleId="Ttulo1">
    <w:name w:val="heading 1"/>
    <w:basedOn w:val="Normal"/>
    <w:next w:val="Normal"/>
    <w:link w:val="Ttulo1Car"/>
    <w:uiPriority w:val="9"/>
    <w:qFormat/>
    <w:rsid w:val="00D06B97"/>
    <w:pPr>
      <w:keepNext/>
      <w:keepLines/>
      <w:spacing w:before="480" w:after="240" w:line="480" w:lineRule="auto"/>
      <w:outlineLvl w:val="0"/>
    </w:pPr>
    <w:rPr>
      <w:rFonts w:ascii="Times New Roman" w:eastAsiaTheme="majorEastAsia" w:hAnsi="Times New Roman" w:cs="Times New Roman"/>
      <w:b/>
      <w:bCs/>
      <w:sz w:val="24"/>
      <w:szCs w:val="24"/>
    </w:rPr>
  </w:style>
  <w:style w:type="paragraph" w:styleId="Ttulo2">
    <w:name w:val="heading 2"/>
    <w:basedOn w:val="Normal"/>
    <w:next w:val="Normal"/>
    <w:link w:val="Ttulo2Car"/>
    <w:uiPriority w:val="9"/>
    <w:unhideWhenUsed/>
    <w:qFormat/>
    <w:rsid w:val="00D06B97"/>
    <w:pPr>
      <w:keepNext/>
      <w:keepLines/>
      <w:spacing w:before="200" w:after="240" w:line="480" w:lineRule="auto"/>
      <w:outlineLvl w:val="1"/>
    </w:pPr>
    <w:rPr>
      <w:rFonts w:ascii="Times New Roman" w:eastAsiaTheme="majorEastAsia" w:hAnsi="Times New Roman" w:cs="Times New Roman"/>
      <w:b/>
      <w:bCs/>
      <w:sz w:val="24"/>
      <w:szCs w:val="24"/>
      <w:lang w:val="en-US"/>
    </w:rPr>
  </w:style>
  <w:style w:type="paragraph" w:styleId="Ttulo3">
    <w:name w:val="heading 3"/>
    <w:basedOn w:val="Normal"/>
    <w:next w:val="Normal"/>
    <w:link w:val="Ttulo3Car"/>
    <w:autoRedefine/>
    <w:uiPriority w:val="9"/>
    <w:unhideWhenUsed/>
    <w:qFormat/>
    <w:rsid w:val="00F20752"/>
    <w:pPr>
      <w:keepNext/>
      <w:keepLines/>
      <w:spacing w:before="200" w:after="0"/>
      <w:outlineLvl w:val="2"/>
    </w:pPr>
    <w:rPr>
      <w:rFonts w:ascii="Times New Roman" w:eastAsiaTheme="majorEastAsia" w:hAnsi="Times New Roman" w:cstheme="majorBidi"/>
      <w:b/>
      <w:bCs/>
      <w:sz w:val="24"/>
    </w:rPr>
  </w:style>
  <w:style w:type="paragraph" w:styleId="Ttulo4">
    <w:name w:val="heading 4"/>
    <w:basedOn w:val="Normal"/>
    <w:next w:val="Normal"/>
    <w:link w:val="Ttulo4Car"/>
    <w:uiPriority w:val="9"/>
    <w:semiHidden/>
    <w:unhideWhenUsed/>
    <w:qFormat/>
    <w:rsid w:val="0013000F"/>
    <w:pPr>
      <w:keepNext/>
      <w:keepLines/>
      <w:spacing w:before="200" w:after="0" w:line="276" w:lineRule="auto"/>
      <w:ind w:left="864" w:hanging="864"/>
      <w:outlineLvl w:val="3"/>
    </w:pPr>
    <w:rPr>
      <w:rFonts w:asciiTheme="majorHAnsi" w:eastAsiaTheme="majorEastAsia" w:hAnsiTheme="majorHAnsi" w:cstheme="majorBidi"/>
      <w:b/>
      <w:bCs/>
      <w:i/>
      <w:iCs/>
      <w:color w:val="4F81BD" w:themeColor="accent1"/>
      <w:lang w:val="en-GB"/>
    </w:rPr>
  </w:style>
  <w:style w:type="paragraph" w:styleId="Ttulo5">
    <w:name w:val="heading 5"/>
    <w:basedOn w:val="Normal"/>
    <w:next w:val="Normal"/>
    <w:link w:val="Ttulo5Car"/>
    <w:uiPriority w:val="9"/>
    <w:semiHidden/>
    <w:unhideWhenUsed/>
    <w:qFormat/>
    <w:rsid w:val="00302A9E"/>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3000F"/>
    <w:pPr>
      <w:keepNext/>
      <w:keepLines/>
      <w:spacing w:before="200" w:after="0" w:line="276" w:lineRule="auto"/>
      <w:ind w:left="1152" w:hanging="1152"/>
      <w:outlineLvl w:val="5"/>
    </w:pPr>
    <w:rPr>
      <w:rFonts w:asciiTheme="majorHAnsi" w:eastAsiaTheme="majorEastAsia" w:hAnsiTheme="majorHAnsi" w:cstheme="majorBidi"/>
      <w:i/>
      <w:iCs/>
      <w:color w:val="243F60" w:themeColor="accent1" w:themeShade="7F"/>
      <w:lang w:val="en-GB"/>
    </w:rPr>
  </w:style>
  <w:style w:type="paragraph" w:styleId="Ttulo7">
    <w:name w:val="heading 7"/>
    <w:basedOn w:val="Normal"/>
    <w:next w:val="Normal"/>
    <w:link w:val="Ttulo7Car"/>
    <w:uiPriority w:val="9"/>
    <w:semiHidden/>
    <w:unhideWhenUsed/>
    <w:qFormat/>
    <w:rsid w:val="0013000F"/>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val="en-GB"/>
    </w:rPr>
  </w:style>
  <w:style w:type="paragraph" w:styleId="Ttulo8">
    <w:name w:val="heading 8"/>
    <w:basedOn w:val="Normal"/>
    <w:next w:val="Normal"/>
    <w:link w:val="Ttulo8Car"/>
    <w:uiPriority w:val="9"/>
    <w:semiHidden/>
    <w:unhideWhenUsed/>
    <w:qFormat/>
    <w:rsid w:val="0013000F"/>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Ttulo9">
    <w:name w:val="heading 9"/>
    <w:basedOn w:val="Normal"/>
    <w:next w:val="Normal"/>
    <w:link w:val="Ttulo9Car"/>
    <w:uiPriority w:val="9"/>
    <w:semiHidden/>
    <w:unhideWhenUsed/>
    <w:qFormat/>
    <w:rsid w:val="0013000F"/>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Fuentedeprrafopredeter">
    <w:name w:val="Default Paragraph Font"/>
    <w:uiPriority w:val="1"/>
    <w:semiHidden/>
    <w:unhideWhenUsed/>
    <w:rsid w:val="001F2F52"/>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1F2F52"/>
  </w:style>
  <w:style w:type="character" w:styleId="Nmerodelnea">
    <w:name w:val="line number"/>
    <w:basedOn w:val="Fuentedeprrafopredeter"/>
    <w:uiPriority w:val="99"/>
    <w:unhideWhenUsed/>
    <w:rsid w:val="00145AE1"/>
  </w:style>
  <w:style w:type="character" w:styleId="Hipervnculo">
    <w:name w:val="Hyperlink"/>
    <w:basedOn w:val="Fuentedeprrafopredeter"/>
    <w:uiPriority w:val="99"/>
    <w:unhideWhenUsed/>
    <w:rsid w:val="00F513DD"/>
    <w:rPr>
      <w:color w:val="0000FF" w:themeColor="hyperlink"/>
      <w:u w:val="single"/>
    </w:rPr>
  </w:style>
  <w:style w:type="paragraph" w:styleId="Prrafodelista">
    <w:name w:val="List Paragraph"/>
    <w:basedOn w:val="Normal"/>
    <w:uiPriority w:val="34"/>
    <w:qFormat/>
    <w:rsid w:val="005D5292"/>
    <w:pPr>
      <w:ind w:left="720"/>
      <w:contextualSpacing/>
    </w:pPr>
  </w:style>
  <w:style w:type="character" w:styleId="Refdecomentario">
    <w:name w:val="annotation reference"/>
    <w:basedOn w:val="Fuentedeprrafopredeter"/>
    <w:uiPriority w:val="99"/>
    <w:semiHidden/>
    <w:unhideWhenUsed/>
    <w:rsid w:val="006B7DB0"/>
    <w:rPr>
      <w:sz w:val="16"/>
      <w:szCs w:val="16"/>
    </w:rPr>
  </w:style>
  <w:style w:type="paragraph" w:styleId="Textocomentario">
    <w:name w:val="annotation text"/>
    <w:basedOn w:val="Normal"/>
    <w:link w:val="TextocomentarioCar"/>
    <w:uiPriority w:val="99"/>
    <w:unhideWhenUsed/>
    <w:rsid w:val="006B7DB0"/>
    <w:pPr>
      <w:spacing w:line="240" w:lineRule="auto"/>
    </w:pPr>
    <w:rPr>
      <w:sz w:val="20"/>
      <w:szCs w:val="20"/>
    </w:rPr>
  </w:style>
  <w:style w:type="character" w:customStyle="1" w:styleId="TextocomentarioCar">
    <w:name w:val="Texto comentario Car"/>
    <w:basedOn w:val="Fuentedeprrafopredeter"/>
    <w:link w:val="Textocomentario"/>
    <w:uiPriority w:val="99"/>
    <w:rsid w:val="006B7DB0"/>
    <w:rPr>
      <w:sz w:val="20"/>
      <w:szCs w:val="20"/>
    </w:rPr>
  </w:style>
  <w:style w:type="paragraph" w:styleId="Asuntodelcomentario">
    <w:name w:val="annotation subject"/>
    <w:basedOn w:val="Textocomentario"/>
    <w:next w:val="Textocomentario"/>
    <w:link w:val="AsuntodelcomentarioCar"/>
    <w:uiPriority w:val="99"/>
    <w:semiHidden/>
    <w:unhideWhenUsed/>
    <w:rsid w:val="006B7DB0"/>
    <w:rPr>
      <w:b/>
      <w:bCs/>
    </w:rPr>
  </w:style>
  <w:style w:type="character" w:customStyle="1" w:styleId="AsuntodelcomentarioCar">
    <w:name w:val="Asunto del comentario Car"/>
    <w:basedOn w:val="TextocomentarioCar"/>
    <w:link w:val="Asuntodelcomentario"/>
    <w:uiPriority w:val="99"/>
    <w:semiHidden/>
    <w:rsid w:val="006B7DB0"/>
    <w:rPr>
      <w:b/>
      <w:bCs/>
      <w:sz w:val="20"/>
      <w:szCs w:val="20"/>
    </w:rPr>
  </w:style>
  <w:style w:type="paragraph" w:styleId="Textodeglobo">
    <w:name w:val="Balloon Text"/>
    <w:basedOn w:val="Normal"/>
    <w:link w:val="TextodegloboCar"/>
    <w:uiPriority w:val="99"/>
    <w:semiHidden/>
    <w:unhideWhenUsed/>
    <w:rsid w:val="006B7D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7DB0"/>
    <w:rPr>
      <w:rFonts w:ascii="Tahoma" w:hAnsi="Tahoma" w:cs="Tahoma"/>
      <w:sz w:val="16"/>
      <w:szCs w:val="16"/>
    </w:rPr>
  </w:style>
  <w:style w:type="paragraph" w:customStyle="1" w:styleId="Default">
    <w:name w:val="Default"/>
    <w:rsid w:val="00BD5F01"/>
    <w:pPr>
      <w:autoSpaceDE w:val="0"/>
      <w:autoSpaceDN w:val="0"/>
      <w:adjustRightInd w:val="0"/>
      <w:spacing w:after="0" w:line="240" w:lineRule="auto"/>
    </w:pPr>
    <w:rPr>
      <w:rFonts w:ascii="Century" w:hAnsi="Century" w:cs="Century"/>
      <w:color w:val="000000"/>
      <w:sz w:val="24"/>
      <w:szCs w:val="24"/>
    </w:rPr>
  </w:style>
  <w:style w:type="character" w:customStyle="1" w:styleId="Ttulo1Car">
    <w:name w:val="Título 1 Car"/>
    <w:basedOn w:val="Fuentedeprrafopredeter"/>
    <w:link w:val="Ttulo1"/>
    <w:uiPriority w:val="9"/>
    <w:rsid w:val="00D06B97"/>
    <w:rPr>
      <w:rFonts w:ascii="Times New Roman" w:eastAsiaTheme="majorEastAsia" w:hAnsi="Times New Roman" w:cs="Times New Roman"/>
      <w:b/>
      <w:bCs/>
      <w:sz w:val="24"/>
      <w:szCs w:val="24"/>
    </w:rPr>
  </w:style>
  <w:style w:type="character" w:customStyle="1" w:styleId="Ttulo2Car">
    <w:name w:val="Título 2 Car"/>
    <w:basedOn w:val="Fuentedeprrafopredeter"/>
    <w:link w:val="Ttulo2"/>
    <w:uiPriority w:val="9"/>
    <w:rsid w:val="00D06B97"/>
    <w:rPr>
      <w:rFonts w:ascii="Times New Roman" w:eastAsiaTheme="majorEastAsia" w:hAnsi="Times New Roman" w:cs="Times New Roman"/>
      <w:b/>
      <w:bCs/>
      <w:sz w:val="24"/>
      <w:szCs w:val="24"/>
      <w:lang w:val="en-US"/>
    </w:rPr>
  </w:style>
  <w:style w:type="character" w:styleId="Textodelmarcadordeposicin">
    <w:name w:val="Placeholder Text"/>
    <w:basedOn w:val="Fuentedeprrafopredeter"/>
    <w:uiPriority w:val="99"/>
    <w:semiHidden/>
    <w:rsid w:val="00B34097"/>
    <w:rPr>
      <w:color w:val="808080"/>
    </w:rPr>
  </w:style>
  <w:style w:type="table" w:styleId="Tablaconcuadrcula">
    <w:name w:val="Table Grid"/>
    <w:basedOn w:val="Tablanormal"/>
    <w:uiPriority w:val="59"/>
    <w:rsid w:val="00AF2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7F2904"/>
    <w:pPr>
      <w:spacing w:after="0" w:line="240" w:lineRule="auto"/>
    </w:pPr>
    <w:rPr>
      <w:rFonts w:ascii="Times New Roman" w:eastAsia="Times New Roman" w:hAnsi="Times New Roman" w:cs="Times New Roman"/>
      <w:b/>
      <w:bCs/>
      <w:sz w:val="20"/>
      <w:szCs w:val="20"/>
    </w:rPr>
  </w:style>
  <w:style w:type="character" w:customStyle="1" w:styleId="Ttulo3Car">
    <w:name w:val="Título 3 Car"/>
    <w:basedOn w:val="Fuentedeprrafopredeter"/>
    <w:link w:val="Ttulo3"/>
    <w:uiPriority w:val="9"/>
    <w:rsid w:val="00F20752"/>
    <w:rPr>
      <w:rFonts w:ascii="Times New Roman" w:eastAsiaTheme="majorEastAsia" w:hAnsi="Times New Roman" w:cstheme="majorBidi"/>
      <w:b/>
      <w:bCs/>
      <w:sz w:val="24"/>
    </w:rPr>
  </w:style>
  <w:style w:type="paragraph" w:styleId="Subttulo">
    <w:name w:val="Subtitle"/>
    <w:basedOn w:val="Normal"/>
    <w:next w:val="Normal"/>
    <w:link w:val="SubttuloCar"/>
    <w:uiPriority w:val="11"/>
    <w:qFormat/>
    <w:rsid w:val="00554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54EE7"/>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124DE8"/>
    <w:rPr>
      <w:i/>
      <w:iCs/>
    </w:rPr>
  </w:style>
  <w:style w:type="paragraph" w:styleId="Encabezado">
    <w:name w:val="header"/>
    <w:basedOn w:val="Normal"/>
    <w:link w:val="EncabezadoCar"/>
    <w:uiPriority w:val="99"/>
    <w:unhideWhenUsed/>
    <w:rsid w:val="00E4334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3342"/>
  </w:style>
  <w:style w:type="paragraph" w:styleId="Piedepgina">
    <w:name w:val="footer"/>
    <w:basedOn w:val="Normal"/>
    <w:link w:val="PiedepginaCar"/>
    <w:uiPriority w:val="99"/>
    <w:unhideWhenUsed/>
    <w:rsid w:val="00E433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3342"/>
  </w:style>
  <w:style w:type="paragraph" w:styleId="Revisin">
    <w:name w:val="Revision"/>
    <w:hidden/>
    <w:uiPriority w:val="99"/>
    <w:semiHidden/>
    <w:rsid w:val="00401C02"/>
    <w:pPr>
      <w:spacing w:after="0" w:line="240" w:lineRule="auto"/>
    </w:pPr>
    <w:rPr>
      <w:lang w:val="en-GB"/>
    </w:rPr>
  </w:style>
  <w:style w:type="table" w:customStyle="1" w:styleId="Tablaconcuadrcula1">
    <w:name w:val="Tabla con cuadrícula1"/>
    <w:basedOn w:val="Tablanormal"/>
    <w:next w:val="Tablaconcuadrcula"/>
    <w:uiPriority w:val="59"/>
    <w:rsid w:val="004D7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Fuentedeprrafopredeter"/>
    <w:rsid w:val="00760F47"/>
  </w:style>
  <w:style w:type="character" w:customStyle="1" w:styleId="Mencinsinresolver1">
    <w:name w:val="Mención sin resolver1"/>
    <w:basedOn w:val="Fuentedeprrafopredeter"/>
    <w:uiPriority w:val="99"/>
    <w:semiHidden/>
    <w:unhideWhenUsed/>
    <w:rsid w:val="0007416B"/>
    <w:rPr>
      <w:color w:val="808080"/>
      <w:shd w:val="clear" w:color="auto" w:fill="E6E6E6"/>
    </w:rPr>
  </w:style>
  <w:style w:type="character" w:customStyle="1" w:styleId="Mencinsinresolver2">
    <w:name w:val="Mención sin resolver2"/>
    <w:basedOn w:val="Fuentedeprrafopredeter"/>
    <w:uiPriority w:val="99"/>
    <w:semiHidden/>
    <w:unhideWhenUsed/>
    <w:rsid w:val="00636D3E"/>
    <w:rPr>
      <w:color w:val="808080"/>
      <w:shd w:val="clear" w:color="auto" w:fill="E6E6E6"/>
    </w:rPr>
  </w:style>
  <w:style w:type="character" w:customStyle="1" w:styleId="Ttulo5Car">
    <w:name w:val="Título 5 Car"/>
    <w:basedOn w:val="Fuentedeprrafopredeter"/>
    <w:link w:val="Ttulo5"/>
    <w:uiPriority w:val="9"/>
    <w:semiHidden/>
    <w:rsid w:val="00302A9E"/>
    <w:rPr>
      <w:rFonts w:asciiTheme="majorHAnsi" w:eastAsiaTheme="majorEastAsia" w:hAnsiTheme="majorHAnsi" w:cstheme="majorBidi"/>
      <w:color w:val="365F91" w:themeColor="accent1" w:themeShade="BF"/>
      <w:lang w:val="en-GB"/>
    </w:rPr>
  </w:style>
  <w:style w:type="character" w:customStyle="1" w:styleId="st">
    <w:name w:val="st"/>
    <w:basedOn w:val="Fuentedeprrafopredeter"/>
    <w:rsid w:val="00343339"/>
  </w:style>
  <w:style w:type="character" w:customStyle="1" w:styleId="Mencinsinresolver3">
    <w:name w:val="Mención sin resolver3"/>
    <w:basedOn w:val="Fuentedeprrafopredeter"/>
    <w:uiPriority w:val="99"/>
    <w:semiHidden/>
    <w:unhideWhenUsed/>
    <w:rsid w:val="003948DD"/>
    <w:rPr>
      <w:color w:val="605E5C"/>
      <w:shd w:val="clear" w:color="auto" w:fill="E1DFDD"/>
    </w:rPr>
  </w:style>
  <w:style w:type="paragraph" w:styleId="NormalWeb">
    <w:name w:val="Normal (Web)"/>
    <w:basedOn w:val="Normal"/>
    <w:uiPriority w:val="99"/>
    <w:unhideWhenUsed/>
    <w:rsid w:val="0059186F"/>
    <w:pPr>
      <w:spacing w:before="100" w:beforeAutospacing="1" w:after="100" w:afterAutospacing="1" w:line="240" w:lineRule="auto"/>
    </w:pPr>
    <w:rPr>
      <w:rFonts w:ascii="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5F0C45"/>
    <w:rPr>
      <w:color w:val="605E5C"/>
      <w:shd w:val="clear" w:color="auto" w:fill="E1DFDD"/>
    </w:rPr>
  </w:style>
  <w:style w:type="character" w:styleId="Textoennegrita">
    <w:name w:val="Strong"/>
    <w:basedOn w:val="Fuentedeprrafopredeter"/>
    <w:uiPriority w:val="22"/>
    <w:qFormat/>
    <w:rsid w:val="003E336B"/>
    <w:rPr>
      <w:b/>
      <w:bCs/>
    </w:rPr>
  </w:style>
  <w:style w:type="numbering" w:customStyle="1" w:styleId="Estilo1">
    <w:name w:val="Estilo1"/>
    <w:uiPriority w:val="99"/>
    <w:rsid w:val="004E7CD8"/>
    <w:pPr>
      <w:numPr>
        <w:numId w:val="2"/>
      </w:numPr>
    </w:pPr>
  </w:style>
  <w:style w:type="paragraph" w:styleId="Textonotapie">
    <w:name w:val="footnote text"/>
    <w:basedOn w:val="Normal"/>
    <w:link w:val="TextonotapieCar"/>
    <w:uiPriority w:val="99"/>
    <w:semiHidden/>
    <w:unhideWhenUsed/>
    <w:rsid w:val="00F64D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4DC9"/>
    <w:rPr>
      <w:rFonts w:eastAsiaTheme="minorHAnsi"/>
      <w:sz w:val="20"/>
      <w:szCs w:val="20"/>
      <w:lang w:eastAsia="en-US"/>
    </w:rPr>
  </w:style>
  <w:style w:type="character" w:styleId="Refdenotaalpie">
    <w:name w:val="footnote reference"/>
    <w:basedOn w:val="Fuentedeprrafopredeter"/>
    <w:uiPriority w:val="99"/>
    <w:semiHidden/>
    <w:unhideWhenUsed/>
    <w:rsid w:val="00F64DC9"/>
    <w:rPr>
      <w:vertAlign w:val="superscript"/>
    </w:rPr>
  </w:style>
  <w:style w:type="character" w:styleId="Mencinsinresolver">
    <w:name w:val="Unresolved Mention"/>
    <w:basedOn w:val="Fuentedeprrafopredeter"/>
    <w:uiPriority w:val="99"/>
    <w:unhideWhenUsed/>
    <w:rsid w:val="00382BDE"/>
    <w:rPr>
      <w:color w:val="605E5C"/>
      <w:shd w:val="clear" w:color="auto" w:fill="E1DFDD"/>
    </w:rPr>
  </w:style>
  <w:style w:type="character" w:styleId="Hipervnculovisitado">
    <w:name w:val="FollowedHyperlink"/>
    <w:basedOn w:val="Fuentedeprrafopredeter"/>
    <w:uiPriority w:val="99"/>
    <w:semiHidden/>
    <w:unhideWhenUsed/>
    <w:rsid w:val="00CC1711"/>
    <w:rPr>
      <w:color w:val="800080" w:themeColor="followedHyperlink"/>
      <w:u w:val="single"/>
    </w:rPr>
  </w:style>
  <w:style w:type="character" w:customStyle="1" w:styleId="title-text">
    <w:name w:val="title-text"/>
    <w:basedOn w:val="Fuentedeprrafopredeter"/>
    <w:rsid w:val="00C16BED"/>
  </w:style>
  <w:style w:type="character" w:customStyle="1" w:styleId="Ttulo4Car">
    <w:name w:val="Título 4 Car"/>
    <w:basedOn w:val="Fuentedeprrafopredeter"/>
    <w:link w:val="Ttulo4"/>
    <w:uiPriority w:val="9"/>
    <w:semiHidden/>
    <w:rsid w:val="0013000F"/>
    <w:rPr>
      <w:rFonts w:asciiTheme="majorHAnsi" w:eastAsiaTheme="majorEastAsia" w:hAnsiTheme="majorHAnsi" w:cstheme="majorBidi"/>
      <w:b/>
      <w:bCs/>
      <w:i/>
      <w:iCs/>
      <w:color w:val="4F81BD" w:themeColor="accent1"/>
      <w:lang w:val="en-GB" w:eastAsia="en-US"/>
    </w:rPr>
  </w:style>
  <w:style w:type="character" w:customStyle="1" w:styleId="Ttulo6Car">
    <w:name w:val="Título 6 Car"/>
    <w:basedOn w:val="Fuentedeprrafopredeter"/>
    <w:link w:val="Ttulo6"/>
    <w:uiPriority w:val="9"/>
    <w:semiHidden/>
    <w:rsid w:val="0013000F"/>
    <w:rPr>
      <w:rFonts w:asciiTheme="majorHAnsi" w:eastAsiaTheme="majorEastAsia" w:hAnsiTheme="majorHAnsi" w:cstheme="majorBidi"/>
      <w:i/>
      <w:iCs/>
      <w:color w:val="243F60" w:themeColor="accent1" w:themeShade="7F"/>
      <w:lang w:val="en-GB" w:eastAsia="en-US"/>
    </w:rPr>
  </w:style>
  <w:style w:type="character" w:customStyle="1" w:styleId="Ttulo7Car">
    <w:name w:val="Título 7 Car"/>
    <w:basedOn w:val="Fuentedeprrafopredeter"/>
    <w:link w:val="Ttulo7"/>
    <w:uiPriority w:val="9"/>
    <w:semiHidden/>
    <w:rsid w:val="0013000F"/>
    <w:rPr>
      <w:rFonts w:asciiTheme="majorHAnsi" w:eastAsiaTheme="majorEastAsia" w:hAnsiTheme="majorHAnsi" w:cstheme="majorBidi"/>
      <w:i/>
      <w:iCs/>
      <w:color w:val="404040" w:themeColor="text1" w:themeTint="BF"/>
      <w:lang w:val="en-GB" w:eastAsia="en-US"/>
    </w:rPr>
  </w:style>
  <w:style w:type="character" w:customStyle="1" w:styleId="Ttulo8Car">
    <w:name w:val="Título 8 Car"/>
    <w:basedOn w:val="Fuentedeprrafopredeter"/>
    <w:link w:val="Ttulo8"/>
    <w:uiPriority w:val="9"/>
    <w:semiHidden/>
    <w:rsid w:val="0013000F"/>
    <w:rPr>
      <w:rFonts w:asciiTheme="majorHAnsi" w:eastAsiaTheme="majorEastAsia" w:hAnsiTheme="majorHAnsi" w:cstheme="majorBidi"/>
      <w:color w:val="404040" w:themeColor="text1" w:themeTint="BF"/>
      <w:sz w:val="20"/>
      <w:szCs w:val="20"/>
      <w:lang w:val="en-GB" w:eastAsia="en-US"/>
    </w:rPr>
  </w:style>
  <w:style w:type="character" w:customStyle="1" w:styleId="Ttulo9Car">
    <w:name w:val="Título 9 Car"/>
    <w:basedOn w:val="Fuentedeprrafopredeter"/>
    <w:link w:val="Ttulo9"/>
    <w:uiPriority w:val="9"/>
    <w:semiHidden/>
    <w:rsid w:val="0013000F"/>
    <w:rPr>
      <w:rFonts w:asciiTheme="majorHAnsi" w:eastAsiaTheme="majorEastAsia" w:hAnsiTheme="majorHAnsi" w:cstheme="majorBidi"/>
      <w:i/>
      <w:iCs/>
      <w:color w:val="404040" w:themeColor="text1" w:themeTint="BF"/>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914">
      <w:bodyDiv w:val="1"/>
      <w:marLeft w:val="0"/>
      <w:marRight w:val="0"/>
      <w:marTop w:val="0"/>
      <w:marBottom w:val="0"/>
      <w:divBdr>
        <w:top w:val="none" w:sz="0" w:space="0" w:color="auto"/>
        <w:left w:val="none" w:sz="0" w:space="0" w:color="auto"/>
        <w:bottom w:val="none" w:sz="0" w:space="0" w:color="auto"/>
        <w:right w:val="none" w:sz="0" w:space="0" w:color="auto"/>
      </w:divBdr>
    </w:div>
    <w:div w:id="21979878">
      <w:bodyDiv w:val="1"/>
      <w:marLeft w:val="0"/>
      <w:marRight w:val="0"/>
      <w:marTop w:val="0"/>
      <w:marBottom w:val="0"/>
      <w:divBdr>
        <w:top w:val="none" w:sz="0" w:space="0" w:color="auto"/>
        <w:left w:val="none" w:sz="0" w:space="0" w:color="auto"/>
        <w:bottom w:val="none" w:sz="0" w:space="0" w:color="auto"/>
        <w:right w:val="none" w:sz="0" w:space="0" w:color="auto"/>
      </w:divBdr>
    </w:div>
    <w:div w:id="136844194">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69370752">
      <w:bodyDiv w:val="1"/>
      <w:marLeft w:val="0"/>
      <w:marRight w:val="0"/>
      <w:marTop w:val="0"/>
      <w:marBottom w:val="0"/>
      <w:divBdr>
        <w:top w:val="none" w:sz="0" w:space="0" w:color="auto"/>
        <w:left w:val="none" w:sz="0" w:space="0" w:color="auto"/>
        <w:bottom w:val="none" w:sz="0" w:space="0" w:color="auto"/>
        <w:right w:val="none" w:sz="0" w:space="0" w:color="auto"/>
      </w:divBdr>
    </w:div>
    <w:div w:id="240220280">
      <w:bodyDiv w:val="1"/>
      <w:marLeft w:val="0"/>
      <w:marRight w:val="0"/>
      <w:marTop w:val="0"/>
      <w:marBottom w:val="0"/>
      <w:divBdr>
        <w:top w:val="none" w:sz="0" w:space="0" w:color="auto"/>
        <w:left w:val="none" w:sz="0" w:space="0" w:color="auto"/>
        <w:bottom w:val="none" w:sz="0" w:space="0" w:color="auto"/>
        <w:right w:val="none" w:sz="0" w:space="0" w:color="auto"/>
      </w:divBdr>
    </w:div>
    <w:div w:id="257561709">
      <w:bodyDiv w:val="1"/>
      <w:marLeft w:val="0"/>
      <w:marRight w:val="0"/>
      <w:marTop w:val="0"/>
      <w:marBottom w:val="0"/>
      <w:divBdr>
        <w:top w:val="none" w:sz="0" w:space="0" w:color="auto"/>
        <w:left w:val="none" w:sz="0" w:space="0" w:color="auto"/>
        <w:bottom w:val="none" w:sz="0" w:space="0" w:color="auto"/>
        <w:right w:val="none" w:sz="0" w:space="0" w:color="auto"/>
      </w:divBdr>
    </w:div>
    <w:div w:id="258681574">
      <w:bodyDiv w:val="1"/>
      <w:marLeft w:val="0"/>
      <w:marRight w:val="0"/>
      <w:marTop w:val="0"/>
      <w:marBottom w:val="0"/>
      <w:divBdr>
        <w:top w:val="none" w:sz="0" w:space="0" w:color="auto"/>
        <w:left w:val="none" w:sz="0" w:space="0" w:color="auto"/>
        <w:bottom w:val="none" w:sz="0" w:space="0" w:color="auto"/>
        <w:right w:val="none" w:sz="0" w:space="0" w:color="auto"/>
      </w:divBdr>
    </w:div>
    <w:div w:id="262614083">
      <w:bodyDiv w:val="1"/>
      <w:marLeft w:val="0"/>
      <w:marRight w:val="0"/>
      <w:marTop w:val="0"/>
      <w:marBottom w:val="0"/>
      <w:divBdr>
        <w:top w:val="none" w:sz="0" w:space="0" w:color="auto"/>
        <w:left w:val="none" w:sz="0" w:space="0" w:color="auto"/>
        <w:bottom w:val="none" w:sz="0" w:space="0" w:color="auto"/>
        <w:right w:val="none" w:sz="0" w:space="0" w:color="auto"/>
      </w:divBdr>
    </w:div>
    <w:div w:id="276916232">
      <w:bodyDiv w:val="1"/>
      <w:marLeft w:val="0"/>
      <w:marRight w:val="0"/>
      <w:marTop w:val="0"/>
      <w:marBottom w:val="0"/>
      <w:divBdr>
        <w:top w:val="none" w:sz="0" w:space="0" w:color="auto"/>
        <w:left w:val="none" w:sz="0" w:space="0" w:color="auto"/>
        <w:bottom w:val="none" w:sz="0" w:space="0" w:color="auto"/>
        <w:right w:val="none" w:sz="0" w:space="0" w:color="auto"/>
      </w:divBdr>
    </w:div>
    <w:div w:id="337660724">
      <w:bodyDiv w:val="1"/>
      <w:marLeft w:val="0"/>
      <w:marRight w:val="0"/>
      <w:marTop w:val="0"/>
      <w:marBottom w:val="0"/>
      <w:divBdr>
        <w:top w:val="none" w:sz="0" w:space="0" w:color="auto"/>
        <w:left w:val="none" w:sz="0" w:space="0" w:color="auto"/>
        <w:bottom w:val="none" w:sz="0" w:space="0" w:color="auto"/>
        <w:right w:val="none" w:sz="0" w:space="0" w:color="auto"/>
      </w:divBdr>
    </w:div>
    <w:div w:id="339815698">
      <w:bodyDiv w:val="1"/>
      <w:marLeft w:val="0"/>
      <w:marRight w:val="0"/>
      <w:marTop w:val="0"/>
      <w:marBottom w:val="0"/>
      <w:divBdr>
        <w:top w:val="none" w:sz="0" w:space="0" w:color="auto"/>
        <w:left w:val="none" w:sz="0" w:space="0" w:color="auto"/>
        <w:bottom w:val="none" w:sz="0" w:space="0" w:color="auto"/>
        <w:right w:val="none" w:sz="0" w:space="0" w:color="auto"/>
      </w:divBdr>
    </w:div>
    <w:div w:id="369183210">
      <w:bodyDiv w:val="1"/>
      <w:marLeft w:val="0"/>
      <w:marRight w:val="0"/>
      <w:marTop w:val="0"/>
      <w:marBottom w:val="0"/>
      <w:divBdr>
        <w:top w:val="none" w:sz="0" w:space="0" w:color="auto"/>
        <w:left w:val="none" w:sz="0" w:space="0" w:color="auto"/>
        <w:bottom w:val="none" w:sz="0" w:space="0" w:color="auto"/>
        <w:right w:val="none" w:sz="0" w:space="0" w:color="auto"/>
      </w:divBdr>
    </w:div>
    <w:div w:id="413744040">
      <w:bodyDiv w:val="1"/>
      <w:marLeft w:val="0"/>
      <w:marRight w:val="0"/>
      <w:marTop w:val="0"/>
      <w:marBottom w:val="0"/>
      <w:divBdr>
        <w:top w:val="none" w:sz="0" w:space="0" w:color="auto"/>
        <w:left w:val="none" w:sz="0" w:space="0" w:color="auto"/>
        <w:bottom w:val="none" w:sz="0" w:space="0" w:color="auto"/>
        <w:right w:val="none" w:sz="0" w:space="0" w:color="auto"/>
      </w:divBdr>
    </w:div>
    <w:div w:id="435297251">
      <w:bodyDiv w:val="1"/>
      <w:marLeft w:val="0"/>
      <w:marRight w:val="0"/>
      <w:marTop w:val="0"/>
      <w:marBottom w:val="0"/>
      <w:divBdr>
        <w:top w:val="none" w:sz="0" w:space="0" w:color="auto"/>
        <w:left w:val="none" w:sz="0" w:space="0" w:color="auto"/>
        <w:bottom w:val="none" w:sz="0" w:space="0" w:color="auto"/>
        <w:right w:val="none" w:sz="0" w:space="0" w:color="auto"/>
      </w:divBdr>
    </w:div>
    <w:div w:id="485895497">
      <w:bodyDiv w:val="1"/>
      <w:marLeft w:val="0"/>
      <w:marRight w:val="0"/>
      <w:marTop w:val="0"/>
      <w:marBottom w:val="0"/>
      <w:divBdr>
        <w:top w:val="none" w:sz="0" w:space="0" w:color="auto"/>
        <w:left w:val="none" w:sz="0" w:space="0" w:color="auto"/>
        <w:bottom w:val="none" w:sz="0" w:space="0" w:color="auto"/>
        <w:right w:val="none" w:sz="0" w:space="0" w:color="auto"/>
      </w:divBdr>
    </w:div>
    <w:div w:id="500660538">
      <w:bodyDiv w:val="1"/>
      <w:marLeft w:val="0"/>
      <w:marRight w:val="0"/>
      <w:marTop w:val="0"/>
      <w:marBottom w:val="0"/>
      <w:divBdr>
        <w:top w:val="none" w:sz="0" w:space="0" w:color="auto"/>
        <w:left w:val="none" w:sz="0" w:space="0" w:color="auto"/>
        <w:bottom w:val="none" w:sz="0" w:space="0" w:color="auto"/>
        <w:right w:val="none" w:sz="0" w:space="0" w:color="auto"/>
      </w:divBdr>
    </w:div>
    <w:div w:id="563297625">
      <w:bodyDiv w:val="1"/>
      <w:marLeft w:val="0"/>
      <w:marRight w:val="0"/>
      <w:marTop w:val="0"/>
      <w:marBottom w:val="0"/>
      <w:divBdr>
        <w:top w:val="none" w:sz="0" w:space="0" w:color="auto"/>
        <w:left w:val="none" w:sz="0" w:space="0" w:color="auto"/>
        <w:bottom w:val="none" w:sz="0" w:space="0" w:color="auto"/>
        <w:right w:val="none" w:sz="0" w:space="0" w:color="auto"/>
      </w:divBdr>
    </w:div>
    <w:div w:id="581522448">
      <w:bodyDiv w:val="1"/>
      <w:marLeft w:val="0"/>
      <w:marRight w:val="0"/>
      <w:marTop w:val="0"/>
      <w:marBottom w:val="0"/>
      <w:divBdr>
        <w:top w:val="none" w:sz="0" w:space="0" w:color="auto"/>
        <w:left w:val="none" w:sz="0" w:space="0" w:color="auto"/>
        <w:bottom w:val="none" w:sz="0" w:space="0" w:color="auto"/>
        <w:right w:val="none" w:sz="0" w:space="0" w:color="auto"/>
      </w:divBdr>
    </w:div>
    <w:div w:id="589193759">
      <w:bodyDiv w:val="1"/>
      <w:marLeft w:val="0"/>
      <w:marRight w:val="0"/>
      <w:marTop w:val="0"/>
      <w:marBottom w:val="0"/>
      <w:divBdr>
        <w:top w:val="none" w:sz="0" w:space="0" w:color="auto"/>
        <w:left w:val="none" w:sz="0" w:space="0" w:color="auto"/>
        <w:bottom w:val="none" w:sz="0" w:space="0" w:color="auto"/>
        <w:right w:val="none" w:sz="0" w:space="0" w:color="auto"/>
      </w:divBdr>
    </w:div>
    <w:div w:id="618024801">
      <w:bodyDiv w:val="1"/>
      <w:marLeft w:val="0"/>
      <w:marRight w:val="0"/>
      <w:marTop w:val="0"/>
      <w:marBottom w:val="0"/>
      <w:divBdr>
        <w:top w:val="none" w:sz="0" w:space="0" w:color="auto"/>
        <w:left w:val="none" w:sz="0" w:space="0" w:color="auto"/>
        <w:bottom w:val="none" w:sz="0" w:space="0" w:color="auto"/>
        <w:right w:val="none" w:sz="0" w:space="0" w:color="auto"/>
      </w:divBdr>
    </w:div>
    <w:div w:id="674310421">
      <w:bodyDiv w:val="1"/>
      <w:marLeft w:val="0"/>
      <w:marRight w:val="0"/>
      <w:marTop w:val="0"/>
      <w:marBottom w:val="0"/>
      <w:divBdr>
        <w:top w:val="none" w:sz="0" w:space="0" w:color="auto"/>
        <w:left w:val="none" w:sz="0" w:space="0" w:color="auto"/>
        <w:bottom w:val="none" w:sz="0" w:space="0" w:color="auto"/>
        <w:right w:val="none" w:sz="0" w:space="0" w:color="auto"/>
      </w:divBdr>
      <w:divsChild>
        <w:div w:id="847210869">
          <w:marLeft w:val="0"/>
          <w:marRight w:val="0"/>
          <w:marTop w:val="0"/>
          <w:marBottom w:val="0"/>
          <w:divBdr>
            <w:top w:val="none" w:sz="0" w:space="0" w:color="auto"/>
            <w:left w:val="none" w:sz="0" w:space="0" w:color="auto"/>
            <w:bottom w:val="none" w:sz="0" w:space="0" w:color="auto"/>
            <w:right w:val="none" w:sz="0" w:space="0" w:color="auto"/>
          </w:divBdr>
        </w:div>
        <w:div w:id="1073315256">
          <w:marLeft w:val="0"/>
          <w:marRight w:val="0"/>
          <w:marTop w:val="0"/>
          <w:marBottom w:val="0"/>
          <w:divBdr>
            <w:top w:val="none" w:sz="0" w:space="0" w:color="auto"/>
            <w:left w:val="none" w:sz="0" w:space="0" w:color="auto"/>
            <w:bottom w:val="none" w:sz="0" w:space="0" w:color="auto"/>
            <w:right w:val="none" w:sz="0" w:space="0" w:color="auto"/>
          </w:divBdr>
        </w:div>
        <w:div w:id="1156534203">
          <w:marLeft w:val="0"/>
          <w:marRight w:val="0"/>
          <w:marTop w:val="0"/>
          <w:marBottom w:val="0"/>
          <w:divBdr>
            <w:top w:val="none" w:sz="0" w:space="0" w:color="auto"/>
            <w:left w:val="none" w:sz="0" w:space="0" w:color="auto"/>
            <w:bottom w:val="none" w:sz="0" w:space="0" w:color="auto"/>
            <w:right w:val="none" w:sz="0" w:space="0" w:color="auto"/>
          </w:divBdr>
        </w:div>
        <w:div w:id="1783768996">
          <w:marLeft w:val="0"/>
          <w:marRight w:val="0"/>
          <w:marTop w:val="0"/>
          <w:marBottom w:val="0"/>
          <w:divBdr>
            <w:top w:val="none" w:sz="0" w:space="0" w:color="auto"/>
            <w:left w:val="none" w:sz="0" w:space="0" w:color="auto"/>
            <w:bottom w:val="none" w:sz="0" w:space="0" w:color="auto"/>
            <w:right w:val="none" w:sz="0" w:space="0" w:color="auto"/>
          </w:divBdr>
        </w:div>
        <w:div w:id="1823304496">
          <w:marLeft w:val="0"/>
          <w:marRight w:val="0"/>
          <w:marTop w:val="0"/>
          <w:marBottom w:val="0"/>
          <w:divBdr>
            <w:top w:val="none" w:sz="0" w:space="0" w:color="auto"/>
            <w:left w:val="none" w:sz="0" w:space="0" w:color="auto"/>
            <w:bottom w:val="none" w:sz="0" w:space="0" w:color="auto"/>
            <w:right w:val="none" w:sz="0" w:space="0" w:color="auto"/>
          </w:divBdr>
        </w:div>
      </w:divsChild>
    </w:div>
    <w:div w:id="694312021">
      <w:bodyDiv w:val="1"/>
      <w:marLeft w:val="0"/>
      <w:marRight w:val="0"/>
      <w:marTop w:val="0"/>
      <w:marBottom w:val="0"/>
      <w:divBdr>
        <w:top w:val="none" w:sz="0" w:space="0" w:color="auto"/>
        <w:left w:val="none" w:sz="0" w:space="0" w:color="auto"/>
        <w:bottom w:val="none" w:sz="0" w:space="0" w:color="auto"/>
        <w:right w:val="none" w:sz="0" w:space="0" w:color="auto"/>
      </w:divBdr>
    </w:div>
    <w:div w:id="711736496">
      <w:bodyDiv w:val="1"/>
      <w:marLeft w:val="0"/>
      <w:marRight w:val="0"/>
      <w:marTop w:val="0"/>
      <w:marBottom w:val="0"/>
      <w:divBdr>
        <w:top w:val="none" w:sz="0" w:space="0" w:color="auto"/>
        <w:left w:val="none" w:sz="0" w:space="0" w:color="auto"/>
        <w:bottom w:val="none" w:sz="0" w:space="0" w:color="auto"/>
        <w:right w:val="none" w:sz="0" w:space="0" w:color="auto"/>
      </w:divBdr>
    </w:div>
    <w:div w:id="726415968">
      <w:bodyDiv w:val="1"/>
      <w:marLeft w:val="0"/>
      <w:marRight w:val="0"/>
      <w:marTop w:val="0"/>
      <w:marBottom w:val="0"/>
      <w:divBdr>
        <w:top w:val="none" w:sz="0" w:space="0" w:color="auto"/>
        <w:left w:val="none" w:sz="0" w:space="0" w:color="auto"/>
        <w:bottom w:val="none" w:sz="0" w:space="0" w:color="auto"/>
        <w:right w:val="none" w:sz="0" w:space="0" w:color="auto"/>
      </w:divBdr>
    </w:div>
    <w:div w:id="783622694">
      <w:bodyDiv w:val="1"/>
      <w:marLeft w:val="0"/>
      <w:marRight w:val="0"/>
      <w:marTop w:val="0"/>
      <w:marBottom w:val="0"/>
      <w:divBdr>
        <w:top w:val="none" w:sz="0" w:space="0" w:color="auto"/>
        <w:left w:val="none" w:sz="0" w:space="0" w:color="auto"/>
        <w:bottom w:val="none" w:sz="0" w:space="0" w:color="auto"/>
        <w:right w:val="none" w:sz="0" w:space="0" w:color="auto"/>
      </w:divBdr>
    </w:div>
    <w:div w:id="840006396">
      <w:bodyDiv w:val="1"/>
      <w:marLeft w:val="0"/>
      <w:marRight w:val="0"/>
      <w:marTop w:val="0"/>
      <w:marBottom w:val="0"/>
      <w:divBdr>
        <w:top w:val="none" w:sz="0" w:space="0" w:color="auto"/>
        <w:left w:val="none" w:sz="0" w:space="0" w:color="auto"/>
        <w:bottom w:val="none" w:sz="0" w:space="0" w:color="auto"/>
        <w:right w:val="none" w:sz="0" w:space="0" w:color="auto"/>
      </w:divBdr>
    </w:div>
    <w:div w:id="903566074">
      <w:bodyDiv w:val="1"/>
      <w:marLeft w:val="0"/>
      <w:marRight w:val="0"/>
      <w:marTop w:val="0"/>
      <w:marBottom w:val="0"/>
      <w:divBdr>
        <w:top w:val="none" w:sz="0" w:space="0" w:color="auto"/>
        <w:left w:val="none" w:sz="0" w:space="0" w:color="auto"/>
        <w:bottom w:val="none" w:sz="0" w:space="0" w:color="auto"/>
        <w:right w:val="none" w:sz="0" w:space="0" w:color="auto"/>
      </w:divBdr>
    </w:div>
    <w:div w:id="1029183158">
      <w:bodyDiv w:val="1"/>
      <w:marLeft w:val="0"/>
      <w:marRight w:val="0"/>
      <w:marTop w:val="0"/>
      <w:marBottom w:val="0"/>
      <w:divBdr>
        <w:top w:val="none" w:sz="0" w:space="0" w:color="auto"/>
        <w:left w:val="none" w:sz="0" w:space="0" w:color="auto"/>
        <w:bottom w:val="none" w:sz="0" w:space="0" w:color="auto"/>
        <w:right w:val="none" w:sz="0" w:space="0" w:color="auto"/>
      </w:divBdr>
    </w:div>
    <w:div w:id="1043402966">
      <w:bodyDiv w:val="1"/>
      <w:marLeft w:val="0"/>
      <w:marRight w:val="0"/>
      <w:marTop w:val="0"/>
      <w:marBottom w:val="0"/>
      <w:divBdr>
        <w:top w:val="none" w:sz="0" w:space="0" w:color="auto"/>
        <w:left w:val="none" w:sz="0" w:space="0" w:color="auto"/>
        <w:bottom w:val="none" w:sz="0" w:space="0" w:color="auto"/>
        <w:right w:val="none" w:sz="0" w:space="0" w:color="auto"/>
      </w:divBdr>
    </w:div>
    <w:div w:id="1049262004">
      <w:bodyDiv w:val="1"/>
      <w:marLeft w:val="0"/>
      <w:marRight w:val="0"/>
      <w:marTop w:val="0"/>
      <w:marBottom w:val="0"/>
      <w:divBdr>
        <w:top w:val="none" w:sz="0" w:space="0" w:color="auto"/>
        <w:left w:val="none" w:sz="0" w:space="0" w:color="auto"/>
        <w:bottom w:val="none" w:sz="0" w:space="0" w:color="auto"/>
        <w:right w:val="none" w:sz="0" w:space="0" w:color="auto"/>
      </w:divBdr>
    </w:div>
    <w:div w:id="1113476829">
      <w:bodyDiv w:val="1"/>
      <w:marLeft w:val="0"/>
      <w:marRight w:val="0"/>
      <w:marTop w:val="0"/>
      <w:marBottom w:val="0"/>
      <w:divBdr>
        <w:top w:val="none" w:sz="0" w:space="0" w:color="auto"/>
        <w:left w:val="none" w:sz="0" w:space="0" w:color="auto"/>
        <w:bottom w:val="none" w:sz="0" w:space="0" w:color="auto"/>
        <w:right w:val="none" w:sz="0" w:space="0" w:color="auto"/>
      </w:divBdr>
      <w:divsChild>
        <w:div w:id="146898290">
          <w:marLeft w:val="0"/>
          <w:marRight w:val="0"/>
          <w:marTop w:val="0"/>
          <w:marBottom w:val="0"/>
          <w:divBdr>
            <w:top w:val="none" w:sz="0" w:space="0" w:color="auto"/>
            <w:left w:val="none" w:sz="0" w:space="0" w:color="auto"/>
            <w:bottom w:val="none" w:sz="0" w:space="0" w:color="auto"/>
            <w:right w:val="none" w:sz="0" w:space="0" w:color="auto"/>
          </w:divBdr>
        </w:div>
        <w:div w:id="502624506">
          <w:marLeft w:val="0"/>
          <w:marRight w:val="0"/>
          <w:marTop w:val="0"/>
          <w:marBottom w:val="0"/>
          <w:divBdr>
            <w:top w:val="none" w:sz="0" w:space="0" w:color="auto"/>
            <w:left w:val="none" w:sz="0" w:space="0" w:color="auto"/>
            <w:bottom w:val="none" w:sz="0" w:space="0" w:color="auto"/>
            <w:right w:val="none" w:sz="0" w:space="0" w:color="auto"/>
          </w:divBdr>
        </w:div>
        <w:div w:id="750394691">
          <w:marLeft w:val="0"/>
          <w:marRight w:val="0"/>
          <w:marTop w:val="0"/>
          <w:marBottom w:val="0"/>
          <w:divBdr>
            <w:top w:val="none" w:sz="0" w:space="0" w:color="auto"/>
            <w:left w:val="none" w:sz="0" w:space="0" w:color="auto"/>
            <w:bottom w:val="none" w:sz="0" w:space="0" w:color="auto"/>
            <w:right w:val="none" w:sz="0" w:space="0" w:color="auto"/>
          </w:divBdr>
        </w:div>
        <w:div w:id="821510433">
          <w:marLeft w:val="0"/>
          <w:marRight w:val="0"/>
          <w:marTop w:val="0"/>
          <w:marBottom w:val="0"/>
          <w:divBdr>
            <w:top w:val="none" w:sz="0" w:space="0" w:color="auto"/>
            <w:left w:val="none" w:sz="0" w:space="0" w:color="auto"/>
            <w:bottom w:val="none" w:sz="0" w:space="0" w:color="auto"/>
            <w:right w:val="none" w:sz="0" w:space="0" w:color="auto"/>
          </w:divBdr>
        </w:div>
        <w:div w:id="853614075">
          <w:marLeft w:val="0"/>
          <w:marRight w:val="0"/>
          <w:marTop w:val="0"/>
          <w:marBottom w:val="0"/>
          <w:divBdr>
            <w:top w:val="none" w:sz="0" w:space="0" w:color="auto"/>
            <w:left w:val="none" w:sz="0" w:space="0" w:color="auto"/>
            <w:bottom w:val="none" w:sz="0" w:space="0" w:color="auto"/>
            <w:right w:val="none" w:sz="0" w:space="0" w:color="auto"/>
          </w:divBdr>
        </w:div>
        <w:div w:id="878467769">
          <w:marLeft w:val="0"/>
          <w:marRight w:val="0"/>
          <w:marTop w:val="0"/>
          <w:marBottom w:val="0"/>
          <w:divBdr>
            <w:top w:val="none" w:sz="0" w:space="0" w:color="auto"/>
            <w:left w:val="none" w:sz="0" w:space="0" w:color="auto"/>
            <w:bottom w:val="none" w:sz="0" w:space="0" w:color="auto"/>
            <w:right w:val="none" w:sz="0" w:space="0" w:color="auto"/>
          </w:divBdr>
        </w:div>
        <w:div w:id="1022630536">
          <w:marLeft w:val="0"/>
          <w:marRight w:val="0"/>
          <w:marTop w:val="0"/>
          <w:marBottom w:val="0"/>
          <w:divBdr>
            <w:top w:val="none" w:sz="0" w:space="0" w:color="auto"/>
            <w:left w:val="none" w:sz="0" w:space="0" w:color="auto"/>
            <w:bottom w:val="none" w:sz="0" w:space="0" w:color="auto"/>
            <w:right w:val="none" w:sz="0" w:space="0" w:color="auto"/>
          </w:divBdr>
        </w:div>
        <w:div w:id="1789465154">
          <w:marLeft w:val="0"/>
          <w:marRight w:val="0"/>
          <w:marTop w:val="0"/>
          <w:marBottom w:val="0"/>
          <w:divBdr>
            <w:top w:val="none" w:sz="0" w:space="0" w:color="auto"/>
            <w:left w:val="none" w:sz="0" w:space="0" w:color="auto"/>
            <w:bottom w:val="none" w:sz="0" w:space="0" w:color="auto"/>
            <w:right w:val="none" w:sz="0" w:space="0" w:color="auto"/>
          </w:divBdr>
        </w:div>
        <w:div w:id="2003971413">
          <w:marLeft w:val="0"/>
          <w:marRight w:val="0"/>
          <w:marTop w:val="0"/>
          <w:marBottom w:val="0"/>
          <w:divBdr>
            <w:top w:val="none" w:sz="0" w:space="0" w:color="auto"/>
            <w:left w:val="none" w:sz="0" w:space="0" w:color="auto"/>
            <w:bottom w:val="none" w:sz="0" w:space="0" w:color="auto"/>
            <w:right w:val="none" w:sz="0" w:space="0" w:color="auto"/>
          </w:divBdr>
        </w:div>
        <w:div w:id="2063433326">
          <w:marLeft w:val="0"/>
          <w:marRight w:val="0"/>
          <w:marTop w:val="0"/>
          <w:marBottom w:val="0"/>
          <w:divBdr>
            <w:top w:val="none" w:sz="0" w:space="0" w:color="auto"/>
            <w:left w:val="none" w:sz="0" w:space="0" w:color="auto"/>
            <w:bottom w:val="none" w:sz="0" w:space="0" w:color="auto"/>
            <w:right w:val="none" w:sz="0" w:space="0" w:color="auto"/>
          </w:divBdr>
        </w:div>
      </w:divsChild>
    </w:div>
    <w:div w:id="1128625605">
      <w:bodyDiv w:val="1"/>
      <w:marLeft w:val="0"/>
      <w:marRight w:val="0"/>
      <w:marTop w:val="0"/>
      <w:marBottom w:val="0"/>
      <w:divBdr>
        <w:top w:val="none" w:sz="0" w:space="0" w:color="auto"/>
        <w:left w:val="none" w:sz="0" w:space="0" w:color="auto"/>
        <w:bottom w:val="none" w:sz="0" w:space="0" w:color="auto"/>
        <w:right w:val="none" w:sz="0" w:space="0" w:color="auto"/>
      </w:divBdr>
    </w:div>
    <w:div w:id="1143307784">
      <w:bodyDiv w:val="1"/>
      <w:marLeft w:val="0"/>
      <w:marRight w:val="0"/>
      <w:marTop w:val="0"/>
      <w:marBottom w:val="0"/>
      <w:divBdr>
        <w:top w:val="none" w:sz="0" w:space="0" w:color="auto"/>
        <w:left w:val="none" w:sz="0" w:space="0" w:color="auto"/>
        <w:bottom w:val="none" w:sz="0" w:space="0" w:color="auto"/>
        <w:right w:val="none" w:sz="0" w:space="0" w:color="auto"/>
      </w:divBdr>
    </w:div>
    <w:div w:id="1289434926">
      <w:bodyDiv w:val="1"/>
      <w:marLeft w:val="0"/>
      <w:marRight w:val="0"/>
      <w:marTop w:val="0"/>
      <w:marBottom w:val="0"/>
      <w:divBdr>
        <w:top w:val="none" w:sz="0" w:space="0" w:color="auto"/>
        <w:left w:val="none" w:sz="0" w:space="0" w:color="auto"/>
        <w:bottom w:val="none" w:sz="0" w:space="0" w:color="auto"/>
        <w:right w:val="none" w:sz="0" w:space="0" w:color="auto"/>
      </w:divBdr>
    </w:div>
    <w:div w:id="1354069511">
      <w:bodyDiv w:val="1"/>
      <w:marLeft w:val="0"/>
      <w:marRight w:val="0"/>
      <w:marTop w:val="0"/>
      <w:marBottom w:val="0"/>
      <w:divBdr>
        <w:top w:val="none" w:sz="0" w:space="0" w:color="auto"/>
        <w:left w:val="none" w:sz="0" w:space="0" w:color="auto"/>
        <w:bottom w:val="none" w:sz="0" w:space="0" w:color="auto"/>
        <w:right w:val="none" w:sz="0" w:space="0" w:color="auto"/>
      </w:divBdr>
    </w:div>
    <w:div w:id="1385987309">
      <w:bodyDiv w:val="1"/>
      <w:marLeft w:val="0"/>
      <w:marRight w:val="0"/>
      <w:marTop w:val="0"/>
      <w:marBottom w:val="0"/>
      <w:divBdr>
        <w:top w:val="none" w:sz="0" w:space="0" w:color="auto"/>
        <w:left w:val="none" w:sz="0" w:space="0" w:color="auto"/>
        <w:bottom w:val="none" w:sz="0" w:space="0" w:color="auto"/>
        <w:right w:val="none" w:sz="0" w:space="0" w:color="auto"/>
      </w:divBdr>
    </w:div>
    <w:div w:id="1418557387">
      <w:bodyDiv w:val="1"/>
      <w:marLeft w:val="0"/>
      <w:marRight w:val="0"/>
      <w:marTop w:val="0"/>
      <w:marBottom w:val="0"/>
      <w:divBdr>
        <w:top w:val="none" w:sz="0" w:space="0" w:color="auto"/>
        <w:left w:val="none" w:sz="0" w:space="0" w:color="auto"/>
        <w:bottom w:val="none" w:sz="0" w:space="0" w:color="auto"/>
        <w:right w:val="none" w:sz="0" w:space="0" w:color="auto"/>
      </w:divBdr>
    </w:div>
    <w:div w:id="1464926407">
      <w:bodyDiv w:val="1"/>
      <w:marLeft w:val="0"/>
      <w:marRight w:val="0"/>
      <w:marTop w:val="0"/>
      <w:marBottom w:val="0"/>
      <w:divBdr>
        <w:top w:val="none" w:sz="0" w:space="0" w:color="auto"/>
        <w:left w:val="none" w:sz="0" w:space="0" w:color="auto"/>
        <w:bottom w:val="none" w:sz="0" w:space="0" w:color="auto"/>
        <w:right w:val="none" w:sz="0" w:space="0" w:color="auto"/>
      </w:divBdr>
    </w:div>
    <w:div w:id="1470706099">
      <w:bodyDiv w:val="1"/>
      <w:marLeft w:val="0"/>
      <w:marRight w:val="0"/>
      <w:marTop w:val="0"/>
      <w:marBottom w:val="0"/>
      <w:divBdr>
        <w:top w:val="none" w:sz="0" w:space="0" w:color="auto"/>
        <w:left w:val="none" w:sz="0" w:space="0" w:color="auto"/>
        <w:bottom w:val="none" w:sz="0" w:space="0" w:color="auto"/>
        <w:right w:val="none" w:sz="0" w:space="0" w:color="auto"/>
      </w:divBdr>
      <w:divsChild>
        <w:div w:id="422343047">
          <w:marLeft w:val="0"/>
          <w:marRight w:val="0"/>
          <w:marTop w:val="0"/>
          <w:marBottom w:val="0"/>
          <w:divBdr>
            <w:top w:val="none" w:sz="0" w:space="0" w:color="auto"/>
            <w:left w:val="none" w:sz="0" w:space="0" w:color="auto"/>
            <w:bottom w:val="none" w:sz="0" w:space="0" w:color="auto"/>
            <w:right w:val="none" w:sz="0" w:space="0" w:color="auto"/>
          </w:divBdr>
        </w:div>
        <w:div w:id="1816681429">
          <w:marLeft w:val="0"/>
          <w:marRight w:val="0"/>
          <w:marTop w:val="0"/>
          <w:marBottom w:val="0"/>
          <w:divBdr>
            <w:top w:val="none" w:sz="0" w:space="0" w:color="auto"/>
            <w:left w:val="none" w:sz="0" w:space="0" w:color="auto"/>
            <w:bottom w:val="none" w:sz="0" w:space="0" w:color="auto"/>
            <w:right w:val="none" w:sz="0" w:space="0" w:color="auto"/>
          </w:divBdr>
        </w:div>
        <w:div w:id="2140301642">
          <w:marLeft w:val="0"/>
          <w:marRight w:val="0"/>
          <w:marTop w:val="0"/>
          <w:marBottom w:val="0"/>
          <w:divBdr>
            <w:top w:val="none" w:sz="0" w:space="0" w:color="auto"/>
            <w:left w:val="none" w:sz="0" w:space="0" w:color="auto"/>
            <w:bottom w:val="none" w:sz="0" w:space="0" w:color="auto"/>
            <w:right w:val="none" w:sz="0" w:space="0" w:color="auto"/>
          </w:divBdr>
        </w:div>
      </w:divsChild>
    </w:div>
    <w:div w:id="1576235748">
      <w:bodyDiv w:val="1"/>
      <w:marLeft w:val="0"/>
      <w:marRight w:val="0"/>
      <w:marTop w:val="0"/>
      <w:marBottom w:val="0"/>
      <w:divBdr>
        <w:top w:val="none" w:sz="0" w:space="0" w:color="auto"/>
        <w:left w:val="none" w:sz="0" w:space="0" w:color="auto"/>
        <w:bottom w:val="none" w:sz="0" w:space="0" w:color="auto"/>
        <w:right w:val="none" w:sz="0" w:space="0" w:color="auto"/>
      </w:divBdr>
    </w:div>
    <w:div w:id="1598831730">
      <w:bodyDiv w:val="1"/>
      <w:marLeft w:val="0"/>
      <w:marRight w:val="0"/>
      <w:marTop w:val="0"/>
      <w:marBottom w:val="0"/>
      <w:divBdr>
        <w:top w:val="none" w:sz="0" w:space="0" w:color="auto"/>
        <w:left w:val="none" w:sz="0" w:space="0" w:color="auto"/>
        <w:bottom w:val="none" w:sz="0" w:space="0" w:color="auto"/>
        <w:right w:val="none" w:sz="0" w:space="0" w:color="auto"/>
      </w:divBdr>
    </w:div>
    <w:div w:id="1643581298">
      <w:bodyDiv w:val="1"/>
      <w:marLeft w:val="0"/>
      <w:marRight w:val="0"/>
      <w:marTop w:val="0"/>
      <w:marBottom w:val="0"/>
      <w:divBdr>
        <w:top w:val="none" w:sz="0" w:space="0" w:color="auto"/>
        <w:left w:val="none" w:sz="0" w:space="0" w:color="auto"/>
        <w:bottom w:val="none" w:sz="0" w:space="0" w:color="auto"/>
        <w:right w:val="none" w:sz="0" w:space="0" w:color="auto"/>
      </w:divBdr>
    </w:div>
    <w:div w:id="1686057564">
      <w:bodyDiv w:val="1"/>
      <w:marLeft w:val="0"/>
      <w:marRight w:val="0"/>
      <w:marTop w:val="0"/>
      <w:marBottom w:val="0"/>
      <w:divBdr>
        <w:top w:val="none" w:sz="0" w:space="0" w:color="auto"/>
        <w:left w:val="none" w:sz="0" w:space="0" w:color="auto"/>
        <w:bottom w:val="none" w:sz="0" w:space="0" w:color="auto"/>
        <w:right w:val="none" w:sz="0" w:space="0" w:color="auto"/>
      </w:divBdr>
    </w:div>
    <w:div w:id="1773167878">
      <w:bodyDiv w:val="1"/>
      <w:marLeft w:val="0"/>
      <w:marRight w:val="0"/>
      <w:marTop w:val="0"/>
      <w:marBottom w:val="0"/>
      <w:divBdr>
        <w:top w:val="none" w:sz="0" w:space="0" w:color="auto"/>
        <w:left w:val="none" w:sz="0" w:space="0" w:color="auto"/>
        <w:bottom w:val="none" w:sz="0" w:space="0" w:color="auto"/>
        <w:right w:val="none" w:sz="0" w:space="0" w:color="auto"/>
      </w:divBdr>
    </w:div>
    <w:div w:id="1777209623">
      <w:bodyDiv w:val="1"/>
      <w:marLeft w:val="0"/>
      <w:marRight w:val="0"/>
      <w:marTop w:val="0"/>
      <w:marBottom w:val="0"/>
      <w:divBdr>
        <w:top w:val="none" w:sz="0" w:space="0" w:color="auto"/>
        <w:left w:val="none" w:sz="0" w:space="0" w:color="auto"/>
        <w:bottom w:val="none" w:sz="0" w:space="0" w:color="auto"/>
        <w:right w:val="none" w:sz="0" w:space="0" w:color="auto"/>
      </w:divBdr>
    </w:div>
    <w:div w:id="1904638623">
      <w:bodyDiv w:val="1"/>
      <w:marLeft w:val="0"/>
      <w:marRight w:val="0"/>
      <w:marTop w:val="0"/>
      <w:marBottom w:val="0"/>
      <w:divBdr>
        <w:top w:val="none" w:sz="0" w:space="0" w:color="auto"/>
        <w:left w:val="none" w:sz="0" w:space="0" w:color="auto"/>
        <w:bottom w:val="none" w:sz="0" w:space="0" w:color="auto"/>
        <w:right w:val="none" w:sz="0" w:space="0" w:color="auto"/>
      </w:divBdr>
    </w:div>
    <w:div w:id="1922907658">
      <w:bodyDiv w:val="1"/>
      <w:marLeft w:val="0"/>
      <w:marRight w:val="0"/>
      <w:marTop w:val="0"/>
      <w:marBottom w:val="0"/>
      <w:divBdr>
        <w:top w:val="none" w:sz="0" w:space="0" w:color="auto"/>
        <w:left w:val="none" w:sz="0" w:space="0" w:color="auto"/>
        <w:bottom w:val="none" w:sz="0" w:space="0" w:color="auto"/>
        <w:right w:val="none" w:sz="0" w:space="0" w:color="auto"/>
      </w:divBdr>
    </w:div>
    <w:div w:id="1948191510">
      <w:bodyDiv w:val="1"/>
      <w:marLeft w:val="0"/>
      <w:marRight w:val="0"/>
      <w:marTop w:val="0"/>
      <w:marBottom w:val="0"/>
      <w:divBdr>
        <w:top w:val="none" w:sz="0" w:space="0" w:color="auto"/>
        <w:left w:val="none" w:sz="0" w:space="0" w:color="auto"/>
        <w:bottom w:val="none" w:sz="0" w:space="0" w:color="auto"/>
        <w:right w:val="none" w:sz="0" w:space="0" w:color="auto"/>
      </w:divBdr>
    </w:div>
    <w:div w:id="1960795572">
      <w:bodyDiv w:val="1"/>
      <w:marLeft w:val="0"/>
      <w:marRight w:val="0"/>
      <w:marTop w:val="0"/>
      <w:marBottom w:val="0"/>
      <w:divBdr>
        <w:top w:val="none" w:sz="0" w:space="0" w:color="auto"/>
        <w:left w:val="none" w:sz="0" w:space="0" w:color="auto"/>
        <w:bottom w:val="none" w:sz="0" w:space="0" w:color="auto"/>
        <w:right w:val="none" w:sz="0" w:space="0" w:color="auto"/>
      </w:divBdr>
    </w:div>
    <w:div w:id="1970895366">
      <w:bodyDiv w:val="1"/>
      <w:marLeft w:val="0"/>
      <w:marRight w:val="0"/>
      <w:marTop w:val="0"/>
      <w:marBottom w:val="0"/>
      <w:divBdr>
        <w:top w:val="none" w:sz="0" w:space="0" w:color="auto"/>
        <w:left w:val="none" w:sz="0" w:space="0" w:color="auto"/>
        <w:bottom w:val="none" w:sz="0" w:space="0" w:color="auto"/>
        <w:right w:val="none" w:sz="0" w:space="0" w:color="auto"/>
      </w:divBdr>
    </w:div>
    <w:div w:id="2010211431">
      <w:bodyDiv w:val="1"/>
      <w:marLeft w:val="0"/>
      <w:marRight w:val="0"/>
      <w:marTop w:val="0"/>
      <w:marBottom w:val="0"/>
      <w:divBdr>
        <w:top w:val="none" w:sz="0" w:space="0" w:color="auto"/>
        <w:left w:val="none" w:sz="0" w:space="0" w:color="auto"/>
        <w:bottom w:val="none" w:sz="0" w:space="0" w:color="auto"/>
        <w:right w:val="none" w:sz="0" w:space="0" w:color="auto"/>
      </w:divBdr>
    </w:div>
    <w:div w:id="2036691809">
      <w:bodyDiv w:val="1"/>
      <w:marLeft w:val="0"/>
      <w:marRight w:val="0"/>
      <w:marTop w:val="0"/>
      <w:marBottom w:val="0"/>
      <w:divBdr>
        <w:top w:val="none" w:sz="0" w:space="0" w:color="auto"/>
        <w:left w:val="none" w:sz="0" w:space="0" w:color="auto"/>
        <w:bottom w:val="none" w:sz="0" w:space="0" w:color="auto"/>
        <w:right w:val="none" w:sz="0" w:space="0" w:color="auto"/>
      </w:divBdr>
    </w:div>
    <w:div w:id="2052264633">
      <w:bodyDiv w:val="1"/>
      <w:marLeft w:val="0"/>
      <w:marRight w:val="0"/>
      <w:marTop w:val="0"/>
      <w:marBottom w:val="0"/>
      <w:divBdr>
        <w:top w:val="none" w:sz="0" w:space="0" w:color="auto"/>
        <w:left w:val="none" w:sz="0" w:space="0" w:color="auto"/>
        <w:bottom w:val="none" w:sz="0" w:space="0" w:color="auto"/>
        <w:right w:val="none" w:sz="0" w:space="0" w:color="auto"/>
      </w:divBdr>
    </w:div>
    <w:div w:id="206355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granado@azti.es" TargetMode="External"/><Relationship Id="rId26" Type="http://schemas.openxmlformats.org/officeDocument/2006/relationships/hyperlink" Target="mailto:mlouzao@azti.es" TargetMode="External"/><Relationship Id="rId3" Type="http://schemas.openxmlformats.org/officeDocument/2006/relationships/customXml" Target="../customXml/item3.xml"/><Relationship Id="rId21" Type="http://schemas.openxmlformats.org/officeDocument/2006/relationships/hyperlink" Target="mailto:arubio@azti.es" TargetMode="External"/><Relationship Id="rId34"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emugerza@azti.es" TargetMode="External"/><Relationship Id="rId33" Type="http://schemas.openxmlformats.org/officeDocument/2006/relationships/image" Target="media/image7.tif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boyra@azti.es" TargetMode="External"/><Relationship Id="rId29"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garcia@azti.es" TargetMode="External"/><Relationship Id="rId24" Type="http://schemas.openxmlformats.org/officeDocument/2006/relationships/hyperlink" Target="mailto:ionandia@azti.es" TargetMode="External"/><Relationship Id="rId32" Type="http://schemas.openxmlformats.org/officeDocument/2006/relationships/image" Target="media/image6.tif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lzarauz@azti.es" TargetMode="External"/><Relationship Id="rId28" Type="http://schemas.openxmlformats.org/officeDocument/2006/relationships/image" Target="media/image2.tif"/><Relationship Id="rId36" Type="http://schemas.openxmlformats.org/officeDocument/2006/relationships/image" Target="media/image10.tiff"/><Relationship Id="rId10" Type="http://schemas.openxmlformats.org/officeDocument/2006/relationships/endnotes" Target="endnotes.xml"/><Relationship Id="rId19" Type="http://schemas.openxmlformats.org/officeDocument/2006/relationships/hyperlink" Target="mailto:aastarloa@azti.es" TargetMode="External"/><Relationship Id="rId31"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fernandes@azti.es" TargetMode="External"/><Relationship Id="rId27" Type="http://schemas.openxmlformats.org/officeDocument/2006/relationships/image" Target="media/image1.tiff"/><Relationship Id="rId30" Type="http://schemas.openxmlformats.org/officeDocument/2006/relationships/image" Target="media/image4.tiff"/><Relationship Id="rId35"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B5731C9273CA740BBFA369D0460803C" ma:contentTypeVersion="12" ma:contentTypeDescription="Crear nuevo documento." ma:contentTypeScope="" ma:versionID="0422213965d98bb7e36045d1e05d079f">
  <xsd:schema xmlns:xsd="http://www.w3.org/2001/XMLSchema" xmlns:xs="http://www.w3.org/2001/XMLSchema" xmlns:p="http://schemas.microsoft.com/office/2006/metadata/properties" xmlns:ns3="9358d737-d466-4813-9f3b-15d25741f199" xmlns:ns4="08a9f847-3e74-4191-8515-0d410683d65c" targetNamespace="http://schemas.microsoft.com/office/2006/metadata/properties" ma:root="true" ma:fieldsID="4c19e84c60bd1684b91cb4db5aa077da" ns3:_="" ns4:_="">
    <xsd:import namespace="9358d737-d466-4813-9f3b-15d25741f199"/>
    <xsd:import namespace="08a9f847-3e74-4191-8515-0d410683d65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8d737-d466-4813-9f3b-15d25741f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a9f847-3e74-4191-8515-0d410683d65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6ECA9-8D3E-4476-9C2E-8E9B20BFD8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68738F-9FCF-4876-BFCF-2F5FBC28E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8d737-d466-4813-9f3b-15d25741f199"/>
    <ds:schemaRef ds:uri="08a9f847-3e74-4191-8515-0d410683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9FC47-B458-4E54-9CB8-7A685DFDFD88}">
  <ds:schemaRefs>
    <ds:schemaRef ds:uri="http://schemas.microsoft.com/sharepoint/v3/contenttype/forms"/>
  </ds:schemaRefs>
</ds:datastoreItem>
</file>

<file path=customXml/itemProps4.xml><?xml version="1.0" encoding="utf-8"?>
<ds:datastoreItem xmlns:ds="http://schemas.openxmlformats.org/officeDocument/2006/customXml" ds:itemID="{8DE0DF3C-1766-4315-ABF6-327D598A2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59014</Words>
  <Characters>324582</Characters>
  <Application>Microsoft Office Word</Application>
  <DocSecurity>0</DocSecurity>
  <Lines>2704</Lines>
  <Paragraphs>765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AZTI</Company>
  <LinksUpToDate>false</LinksUpToDate>
  <CharactersWithSpaces>382831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IGB</dc:creator>
  <cp:keywords/>
  <dc:description/>
  <cp:lastModifiedBy>Edorta Aranguena</cp:lastModifiedBy>
  <cp:revision>2</cp:revision>
  <cp:lastPrinted>2022-06-29T11:40:00Z</cp:lastPrinted>
  <dcterms:created xsi:type="dcterms:W3CDTF">2022-09-05T11:53:00Z</dcterms:created>
  <dcterms:modified xsi:type="dcterms:W3CDTF">2022-09-05T11:53:00Z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c6b7e279-d7e6-3982-820d-7008c99d9f4c</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http://www.zotero.org/styles/fisheries-research</vt:lpwstr>
  </property>
  <property fmtid="{D5CDD505-2E9C-101B-9397-08002B2CF9AE}" pid="11" name="Mendeley Recent Style Name 3_1">
    <vt:lpwstr>Fisheries Research</vt:lpwstr>
  </property>
  <property fmtid="{D5CDD505-2E9C-101B-9397-08002B2CF9AE}" pid="12" name="Mendeley Recent Style Id 4_1">
    <vt:lpwstr>http://www.zotero.org/styles/ices-journal-of-marine-science</vt:lpwstr>
  </property>
  <property fmtid="{D5CDD505-2E9C-101B-9397-08002B2CF9AE}" pid="13" name="Mendeley Recent Style Name 4_1">
    <vt:lpwstr>ICES Journal of Marine Science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http://www.zotero.org/styles/marine-ecology-progress-series</vt:lpwstr>
  </property>
  <property fmtid="{D5CDD505-2E9C-101B-9397-08002B2CF9AE}" pid="17" name="Mendeley Recent Style Name 6_1">
    <vt:lpwstr>Marine Ecology Progress Series</vt:lpwstr>
  </property>
  <property fmtid="{D5CDD505-2E9C-101B-9397-08002B2CF9AE}" pid="18" name="Mendeley Recent Style Id 7_1">
    <vt:lpwstr>http://www.zotero.org/styles/marine-environmental-research</vt:lpwstr>
  </property>
  <property fmtid="{D5CDD505-2E9C-101B-9397-08002B2CF9AE}" pid="19" name="Mendeley Recent Style Name 7_1">
    <vt:lpwstr>Marine Environmental Research</vt:lpwstr>
  </property>
  <property fmtid="{D5CDD505-2E9C-101B-9397-08002B2CF9AE}" pid="20" name="Mendeley Recent Style Id 8_1">
    <vt:lpwstr>http://www.zotero.org/styles/marine-pollution-bulletin</vt:lpwstr>
  </property>
  <property fmtid="{D5CDD505-2E9C-101B-9397-08002B2CF9AE}" pid="21" name="Mendeley Recent Style Name 8_1">
    <vt:lpwstr>Marine Pollution Bulletin</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Citation Style_1">
    <vt:lpwstr>http://www.zotero.org/styles/ices-journal-of-marine-science</vt:lpwstr>
  </property>
  <property fmtid="{D5CDD505-2E9C-101B-9397-08002B2CF9AE}" pid="25" name="MSIP_Label_92f01cf0-dd39-4ca8-8ed8-80cbd24f5bed_Enabled">
    <vt:lpwstr>true</vt:lpwstr>
  </property>
  <property fmtid="{D5CDD505-2E9C-101B-9397-08002B2CF9AE}" pid="26" name="MSIP_Label_92f01cf0-dd39-4ca8-8ed8-80cbd24f5bed_SetDate">
    <vt:lpwstr>2021-01-25T07:25:02Z</vt:lpwstr>
  </property>
  <property fmtid="{D5CDD505-2E9C-101B-9397-08002B2CF9AE}" pid="27" name="MSIP_Label_92f01cf0-dd39-4ca8-8ed8-80cbd24f5bed_Method">
    <vt:lpwstr>Standard</vt:lpwstr>
  </property>
  <property fmtid="{D5CDD505-2E9C-101B-9397-08002B2CF9AE}" pid="28" name="MSIP_Label_92f01cf0-dd39-4ca8-8ed8-80cbd24f5bed_Name">
    <vt:lpwstr>Interno</vt:lpwstr>
  </property>
  <property fmtid="{D5CDD505-2E9C-101B-9397-08002B2CF9AE}" pid="29" name="MSIP_Label_92f01cf0-dd39-4ca8-8ed8-80cbd24f5bed_SiteId">
    <vt:lpwstr>6219f119-3e79-4e7f-acde-a5750808cd9b</vt:lpwstr>
  </property>
  <property fmtid="{D5CDD505-2E9C-101B-9397-08002B2CF9AE}" pid="30" name="MSIP_Label_92f01cf0-dd39-4ca8-8ed8-80cbd24f5bed_ActionId">
    <vt:lpwstr>02956de0-3546-43dc-abc6-66d69230c051</vt:lpwstr>
  </property>
  <property fmtid="{D5CDD505-2E9C-101B-9397-08002B2CF9AE}" pid="31" name="MSIP_Label_92f01cf0-dd39-4ca8-8ed8-80cbd24f5bed_ContentBits">
    <vt:lpwstr>0</vt:lpwstr>
  </property>
  <property fmtid="{D5CDD505-2E9C-101B-9397-08002B2CF9AE}" pid="32" name="ContentTypeId">
    <vt:lpwstr>0x0101004B5731C9273CA740BBFA369D0460803C</vt:lpwstr>
  </property>
</Properties>
</file>